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82" w:leftChars="171" w:hanging="723" w:hangingChars="200"/>
        <w:rPr>
          <w:rFonts w:ascii="仿宋_GB2312" w:hAnsi="仿宋_GB2312" w:eastAsia="仿宋_GB2312"/>
          <w:b/>
          <w:bCs/>
          <w:sz w:val="36"/>
          <w:szCs w:val="36"/>
        </w:rPr>
      </w:pPr>
      <w:r>
        <w:rPr>
          <w:rFonts w:hint="eastAsia" w:ascii="仿宋_GB2312" w:hAnsi="仿宋_GB2312" w:eastAsia="仿宋_GB2312" w:cs="仿宋_GB2312"/>
          <w:b/>
          <w:bCs/>
          <w:sz w:val="36"/>
          <w:szCs w:val="36"/>
        </w:rPr>
        <w:t>关于江门市新会区崖门镇</w:t>
      </w:r>
      <w:r>
        <w:rPr>
          <w:rFonts w:hint="eastAsia" w:ascii="仿宋_GB2312" w:hAnsi="仿宋_GB2312" w:eastAsia="仿宋_GB2312" w:cs="仿宋_GB2312"/>
          <w:b/>
          <w:bCs/>
          <w:spacing w:val="20"/>
          <w:sz w:val="36"/>
          <w:szCs w:val="36"/>
        </w:rPr>
        <w:t>蛇髻顶矿区土方资源公有资产出让底价评估项目</w:t>
      </w:r>
      <w:r>
        <w:rPr>
          <w:rFonts w:hint="eastAsia" w:ascii="仿宋_GB2312" w:hAnsi="仿宋_GB2312" w:eastAsia="仿宋_GB2312" w:cs="仿宋_GB2312"/>
          <w:b/>
          <w:bCs/>
          <w:sz w:val="36"/>
          <w:szCs w:val="36"/>
        </w:rPr>
        <w:t>的公示</w:t>
      </w:r>
    </w:p>
    <w:p/>
    <w:p>
      <w:pPr>
        <w:spacing w:line="500" w:lineRule="exact"/>
        <w:ind w:left="424" w:leftChars="202" w:firstLine="656" w:firstLineChars="200"/>
        <w:rPr>
          <w:rFonts w:ascii="仿宋_GB2312" w:hAnsi="仿宋_GB2312" w:eastAsia="仿宋_GB2312"/>
          <w:sz w:val="32"/>
          <w:szCs w:val="32"/>
        </w:rPr>
      </w:pPr>
      <w:r>
        <w:rPr>
          <w:rFonts w:hint="eastAsia" w:ascii="仿宋_GB2312" w:hAnsi="仿宋_GB2312" w:eastAsia="仿宋_GB2312" w:cs="仿宋_GB2312"/>
          <w:spacing w:val="4"/>
          <w:sz w:val="32"/>
          <w:szCs w:val="32"/>
        </w:rPr>
        <w:t>江门市新会区崖门镇人民政府拟公开协议出让位于江门市新会区崖门镇蛇髻顶矿区的一批土方资源公有资产，特委托</w:t>
      </w:r>
      <w:r>
        <w:rPr>
          <w:rFonts w:hint="eastAsia" w:ascii="仿宋_GB2312" w:hAnsi="仿宋_GB2312" w:eastAsia="仿宋_GB2312" w:cs="仿宋_GB2312"/>
          <w:sz w:val="32"/>
          <w:szCs w:val="32"/>
        </w:rPr>
        <w:t>广东正恒资产土地房地产评估有限公司对该批资产进行评估。现根据《中华人民共和国物权法》（</w:t>
      </w:r>
      <w:r>
        <w:rPr>
          <w:rFonts w:ascii="仿宋_GB2312" w:hAnsi="仿宋_GB2312" w:eastAsia="仿宋_GB2312" w:cs="仿宋_GB2312"/>
          <w:sz w:val="32"/>
          <w:szCs w:val="32"/>
        </w:rPr>
        <w:t>2007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日第十届全国人民代表大会第五次会议通过，</w:t>
      </w:r>
      <w:r>
        <w:rPr>
          <w:rFonts w:ascii="仿宋_GB2312" w:hAnsi="仿宋_GB2312" w:eastAsia="仿宋_GB2312" w:cs="仿宋_GB2312"/>
          <w:sz w:val="32"/>
          <w:szCs w:val="32"/>
        </w:rPr>
        <w:t>2007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日起施行）；《中华人民共和国资产评估法》（中华人民共和国主席令第</w:t>
      </w:r>
      <w:r>
        <w:rPr>
          <w:rFonts w:ascii="仿宋_GB2312" w:hAnsi="仿宋_GB2312" w:eastAsia="仿宋_GB2312" w:cs="仿宋_GB2312"/>
          <w:sz w:val="32"/>
          <w:szCs w:val="32"/>
        </w:rPr>
        <w:t>46</w:t>
      </w:r>
      <w:r>
        <w:rPr>
          <w:rFonts w:hint="eastAsia" w:ascii="仿宋_GB2312" w:hAnsi="仿宋_GB2312" w:eastAsia="仿宋_GB2312" w:cs="仿宋_GB2312"/>
          <w:sz w:val="32"/>
          <w:szCs w:val="32"/>
        </w:rPr>
        <w:t>号，自</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日起施行）；《资产评估行业财政监督管理办法》以及有关规定，对土方数量和评估结果进行公示（详见附件），公示时间：</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1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日起至</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1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日，如对评估结果有任何异议的，可向江门市新会区崖门镇资产管理办公室反映。</w:t>
      </w:r>
    </w:p>
    <w:p>
      <w:pPr>
        <w:rPr>
          <w:rFonts w:ascii="仿宋" w:hAnsi="仿宋" w:eastAsia="仿宋"/>
          <w:sz w:val="30"/>
          <w:szCs w:val="30"/>
        </w:rPr>
      </w:pPr>
      <w:r>
        <w:rPr>
          <w:rFonts w:hint="eastAsia" w:ascii="仿宋" w:hAnsi="仿宋" w:eastAsia="仿宋" w:cs="仿宋"/>
          <w:sz w:val="30"/>
          <w:szCs w:val="30"/>
        </w:rPr>
        <w:t>特此公示。</w:t>
      </w:r>
    </w:p>
    <w:p>
      <w:pPr>
        <w:ind w:left="904" w:hanging="904" w:hangingChars="300"/>
        <w:rPr>
          <w:rFonts w:ascii="仿宋_GB2312" w:hAnsi="仿宋_GB2312" w:eastAsia="仿宋_GB2312"/>
          <w:b/>
          <w:bCs/>
          <w:sz w:val="30"/>
          <w:szCs w:val="30"/>
        </w:rPr>
      </w:pPr>
      <w:r>
        <w:rPr>
          <w:rFonts w:hint="eastAsia" w:ascii="仿宋_GB2312" w:hAnsi="仿宋_GB2312" w:eastAsia="仿宋_GB2312" w:cs="仿宋_GB2312"/>
          <w:b/>
          <w:bCs/>
          <w:sz w:val="30"/>
          <w:szCs w:val="30"/>
        </w:rPr>
        <w:t>附件：</w:t>
      </w:r>
      <w:r>
        <w:rPr>
          <w:rFonts w:ascii="仿宋_GB2312" w:hAnsi="仿宋_GB2312" w:eastAsia="仿宋_GB2312" w:cs="仿宋_GB2312"/>
          <w:sz w:val="30"/>
          <w:szCs w:val="30"/>
        </w:rPr>
        <w:t>1</w:t>
      </w:r>
      <w:r>
        <w:rPr>
          <w:rFonts w:ascii="仿宋_GB2312" w:hAnsi="仿宋_GB2312" w:eastAsia="仿宋_GB2312" w:cs="仿宋_GB2312"/>
          <w:b/>
          <w:bCs/>
          <w:sz w:val="30"/>
          <w:szCs w:val="30"/>
        </w:rPr>
        <w:t>.</w:t>
      </w:r>
      <w:r>
        <w:rPr>
          <w:rFonts w:hint="eastAsia" w:ascii="仿宋_GB2312" w:hAnsi="仿宋_GB2312" w:eastAsia="仿宋_GB2312" w:cs="仿宋_GB2312"/>
          <w:b/>
          <w:bCs/>
          <w:spacing w:val="20"/>
          <w:sz w:val="30"/>
          <w:szCs w:val="30"/>
        </w:rPr>
        <w:t>关于江门市新会区崖门镇蛇髻顶矿区土方资源公有资产出让底价评估项目</w:t>
      </w:r>
      <w:r>
        <w:rPr>
          <w:rFonts w:hint="eastAsia" w:ascii="仿宋_GB2312" w:hAnsi="仿宋_GB2312" w:eastAsia="仿宋_GB2312" w:cs="仿宋_GB2312"/>
          <w:b/>
          <w:bCs/>
          <w:spacing w:val="12"/>
          <w:sz w:val="30"/>
          <w:szCs w:val="30"/>
        </w:rPr>
        <w:t>评估报告摘要</w:t>
      </w:r>
    </w:p>
    <w:p>
      <w:pPr>
        <w:ind w:firstLine="904" w:firstLineChars="300"/>
        <w:rPr>
          <w:rFonts w:ascii="仿宋_GB2312" w:hAnsi="仿宋_GB2312" w:eastAsia="仿宋_GB2312"/>
          <w:b/>
          <w:bCs/>
          <w:sz w:val="30"/>
          <w:szCs w:val="30"/>
        </w:rPr>
      </w:pPr>
      <w:r>
        <w:rPr>
          <w:rFonts w:ascii="仿宋_GB2312" w:hAnsi="仿宋_GB2312" w:eastAsia="仿宋_GB2312" w:cs="仿宋_GB2312"/>
          <w:b/>
          <w:bCs/>
          <w:sz w:val="30"/>
          <w:szCs w:val="30"/>
        </w:rPr>
        <w:t>2.</w:t>
      </w:r>
      <w:r>
        <w:rPr>
          <w:rFonts w:hint="eastAsia" w:ascii="仿宋_GB2312" w:hAnsi="仿宋_GB2312" w:eastAsia="仿宋_GB2312" w:cs="仿宋_GB2312"/>
          <w:b/>
          <w:bCs/>
          <w:kern w:val="0"/>
          <w:sz w:val="30"/>
          <w:szCs w:val="30"/>
        </w:rPr>
        <w:t>委评资产评估结果明细表</w:t>
      </w:r>
    </w:p>
    <w:p>
      <w:pPr>
        <w:rPr>
          <w:rFonts w:ascii="仿宋" w:hAnsi="仿宋" w:eastAsia="仿宋"/>
          <w:b/>
          <w:bCs/>
          <w:sz w:val="30"/>
          <w:szCs w:val="30"/>
        </w:rPr>
      </w:pPr>
    </w:p>
    <w:p>
      <w:pPr>
        <w:rPr>
          <w:rFonts w:ascii="仿宋" w:hAnsi="仿宋" w:eastAsia="仿宋" w:cs="仿宋"/>
          <w:sz w:val="32"/>
          <w:szCs w:val="32"/>
        </w:rPr>
      </w:pPr>
      <w:r>
        <w:rPr>
          <w:rFonts w:hint="eastAsia" w:ascii="仿宋" w:hAnsi="仿宋" w:eastAsia="仿宋" w:cs="仿宋"/>
          <w:sz w:val="32"/>
          <w:szCs w:val="32"/>
        </w:rPr>
        <w:t>联系电话：</w:t>
      </w:r>
      <w:r>
        <w:rPr>
          <w:rFonts w:ascii="仿宋" w:hAnsi="仿宋" w:eastAsia="仿宋" w:cs="仿宋"/>
          <w:sz w:val="32"/>
          <w:szCs w:val="32"/>
        </w:rPr>
        <w:t>0750-6432898</w:t>
      </w:r>
    </w:p>
    <w:p>
      <w:pPr>
        <w:ind w:firstLine="320" w:firstLineChars="100"/>
        <w:rPr>
          <w:rFonts w:ascii="仿宋" w:hAnsi="仿宋" w:eastAsia="仿宋"/>
          <w:sz w:val="32"/>
          <w:szCs w:val="32"/>
        </w:rPr>
      </w:pPr>
      <w:r>
        <w:rPr>
          <w:rFonts w:hint="eastAsia" w:ascii="仿宋" w:hAnsi="仿宋" w:eastAsia="仿宋" w:cs="仿宋"/>
          <w:sz w:val="32"/>
          <w:szCs w:val="32"/>
        </w:rPr>
        <w:t>联系人：周灶扶</w:t>
      </w:r>
    </w:p>
    <w:p>
      <w:pPr>
        <w:ind w:left="5428" w:leftChars="2280" w:hanging="640" w:hangingChars="200"/>
        <w:rPr>
          <w:rFonts w:ascii="仿宋" w:hAnsi="仿宋" w:eastAsia="仿宋"/>
          <w:sz w:val="32"/>
          <w:szCs w:val="32"/>
        </w:rPr>
      </w:pPr>
    </w:p>
    <w:p>
      <w:pPr>
        <w:ind w:left="5427" w:leftChars="2432" w:hanging="320" w:hangingChars="100"/>
        <w:rPr>
          <w:rFonts w:ascii="仿宋" w:hAnsi="仿宋" w:eastAsia="仿宋"/>
          <w:sz w:val="32"/>
          <w:szCs w:val="32"/>
        </w:rPr>
      </w:pPr>
      <w:r>
        <w:rPr>
          <w:rFonts w:hint="eastAsia" w:ascii="仿宋" w:hAnsi="仿宋" w:eastAsia="仿宋" w:cs="仿宋"/>
          <w:sz w:val="32"/>
          <w:szCs w:val="32"/>
        </w:rPr>
        <w:t>崖门镇人民政府</w:t>
      </w:r>
    </w:p>
    <w:p>
      <w:pPr>
        <w:ind w:left="5428" w:leftChars="2280" w:hanging="640" w:hangingChars="200"/>
        <w:rPr>
          <w:rFonts w:ascii="仿宋" w:hAnsi="仿宋" w:eastAsia="仿宋" w:cs="仿宋"/>
          <w:sz w:val="32"/>
          <w:szCs w:val="32"/>
        </w:rPr>
      </w:pPr>
      <w:r>
        <w:rPr>
          <w:rFonts w:ascii="仿宋" w:hAnsi="仿宋" w:eastAsia="仿宋" w:cs="仿宋"/>
          <w:sz w:val="32"/>
          <w:szCs w:val="32"/>
        </w:rPr>
        <w:t xml:space="preserve">     2020</w:t>
      </w:r>
      <w:r>
        <w:rPr>
          <w:rFonts w:hint="eastAsia" w:ascii="仿宋" w:hAnsi="仿宋" w:eastAsia="仿宋" w:cs="仿宋"/>
          <w:sz w:val="32"/>
          <w:szCs w:val="32"/>
        </w:rPr>
        <w:t>年</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14</w:t>
      </w:r>
      <w:r>
        <w:rPr>
          <w:rFonts w:hint="eastAsia" w:ascii="仿宋" w:hAnsi="仿宋" w:eastAsia="仿宋" w:cs="仿宋"/>
          <w:sz w:val="32"/>
          <w:szCs w:val="32"/>
        </w:rPr>
        <w:t>日</w:t>
      </w:r>
    </w:p>
    <w:p>
      <w:pPr>
        <w:jc w:val="center"/>
        <w:rPr>
          <w:rFonts w:hint="eastAsia" w:ascii="宋体" w:hAnsi="宋体" w:cs="宋体"/>
          <w:b/>
          <w:bCs/>
          <w:spacing w:val="20"/>
          <w:sz w:val="44"/>
          <w:szCs w:val="44"/>
        </w:rPr>
      </w:pPr>
    </w:p>
    <w:p>
      <w:pPr>
        <w:jc w:val="left"/>
        <w:rPr>
          <w:rFonts w:hint="eastAsia" w:ascii="宋体" w:hAnsi="宋体" w:eastAsia="宋体" w:cs="宋体"/>
          <w:b w:val="0"/>
          <w:bCs w:val="0"/>
          <w:spacing w:val="20"/>
          <w:sz w:val="36"/>
          <w:szCs w:val="36"/>
          <w:lang w:val="en-US" w:eastAsia="zh-CN"/>
        </w:rPr>
      </w:pPr>
      <w:r>
        <w:rPr>
          <w:rFonts w:hint="eastAsia" w:ascii="宋体" w:hAnsi="宋体" w:cs="宋体"/>
          <w:b w:val="0"/>
          <w:bCs w:val="0"/>
          <w:spacing w:val="20"/>
          <w:sz w:val="36"/>
          <w:szCs w:val="36"/>
          <w:lang w:val="en-US" w:eastAsia="zh-CN"/>
        </w:rPr>
        <w:t>附件1</w:t>
      </w:r>
    </w:p>
    <w:p>
      <w:pPr>
        <w:jc w:val="center"/>
        <w:rPr>
          <w:rFonts w:ascii="宋体" w:cs="宋体"/>
          <w:b/>
          <w:bCs/>
          <w:spacing w:val="20"/>
          <w:sz w:val="44"/>
          <w:szCs w:val="44"/>
        </w:rPr>
      </w:pPr>
      <w:r>
        <w:rPr>
          <w:rFonts w:hint="eastAsia" w:ascii="宋体" w:hAnsi="宋体" w:cs="宋体"/>
          <w:b/>
          <w:bCs/>
          <w:spacing w:val="20"/>
          <w:sz w:val="44"/>
          <w:szCs w:val="44"/>
        </w:rPr>
        <w:t>关于江门市新会区崖门镇蛇髻顶矿区</w:t>
      </w:r>
    </w:p>
    <w:p>
      <w:pPr>
        <w:jc w:val="center"/>
        <w:rPr>
          <w:rFonts w:ascii="宋体" w:cs="宋体"/>
          <w:b/>
          <w:bCs/>
          <w:spacing w:val="20"/>
          <w:sz w:val="44"/>
          <w:szCs w:val="44"/>
        </w:rPr>
      </w:pPr>
      <w:r>
        <w:rPr>
          <w:rFonts w:hint="eastAsia" w:ascii="宋体" w:hAnsi="宋体" w:cs="宋体"/>
          <w:b/>
          <w:bCs/>
          <w:spacing w:val="20"/>
          <w:sz w:val="44"/>
          <w:szCs w:val="44"/>
        </w:rPr>
        <w:t>土方资源公有资产出让底价评估项目</w:t>
      </w:r>
    </w:p>
    <w:p>
      <w:pPr>
        <w:ind w:left="424" w:leftChars="202"/>
        <w:jc w:val="center"/>
        <w:outlineLvl w:val="0"/>
        <w:rPr>
          <w:rFonts w:ascii="宋体"/>
          <w:b/>
          <w:bCs/>
          <w:spacing w:val="20"/>
          <w:sz w:val="44"/>
          <w:szCs w:val="44"/>
        </w:rPr>
      </w:pPr>
      <w:r>
        <w:rPr>
          <w:rFonts w:hint="eastAsia" w:ascii="宋体" w:hAnsi="宋体" w:cs="宋体"/>
          <w:b/>
          <w:bCs/>
          <w:spacing w:val="12"/>
          <w:sz w:val="44"/>
          <w:szCs w:val="44"/>
        </w:rPr>
        <w:t>评估报告摘要</w:t>
      </w:r>
    </w:p>
    <w:p>
      <w:pPr>
        <w:jc w:val="center"/>
        <w:rPr>
          <w:rFonts w:ascii="仿宋_GB2312" w:hAnsi="Arial Narrow" w:eastAsia="仿宋_GB2312"/>
          <w:b/>
          <w:bCs/>
          <w:sz w:val="32"/>
          <w:szCs w:val="32"/>
        </w:rPr>
      </w:pPr>
      <w:r>
        <w:rPr>
          <w:rFonts w:hint="eastAsia" w:ascii="仿宋_GB2312" w:hAnsi="Arial" w:eastAsia="仿宋_GB2312" w:cs="仿宋_GB2312"/>
          <w:b/>
          <w:bCs/>
          <w:sz w:val="32"/>
          <w:szCs w:val="32"/>
        </w:rPr>
        <w:t>广东正恒资评字</w:t>
      </w:r>
      <w:r>
        <w:rPr>
          <w:rFonts w:ascii="仿宋_GB2312" w:hAnsi="Arial" w:eastAsia="仿宋_GB2312" w:cs="仿宋_GB2312"/>
          <w:b/>
          <w:bCs/>
          <w:sz w:val="32"/>
          <w:szCs w:val="32"/>
        </w:rPr>
        <w:t>[2019]</w:t>
      </w:r>
      <w:r>
        <w:rPr>
          <w:rFonts w:hint="eastAsia" w:ascii="仿宋_GB2312" w:hAnsi="Arial" w:eastAsia="仿宋_GB2312" w:cs="仿宋_GB2312"/>
          <w:b/>
          <w:bCs/>
          <w:sz w:val="32"/>
          <w:szCs w:val="32"/>
        </w:rPr>
        <w:t>第</w:t>
      </w:r>
      <w:r>
        <w:rPr>
          <w:rFonts w:ascii="仿宋_GB2312" w:hAnsi="Arial" w:eastAsia="仿宋_GB2312" w:cs="仿宋_GB2312"/>
          <w:b/>
          <w:bCs/>
          <w:sz w:val="32"/>
          <w:szCs w:val="32"/>
        </w:rPr>
        <w:t>0138</w:t>
      </w:r>
      <w:r>
        <w:rPr>
          <w:rFonts w:hint="eastAsia" w:ascii="仿宋_GB2312" w:hAnsi="Arial" w:eastAsia="仿宋_GB2312" w:cs="仿宋_GB2312"/>
          <w:b/>
          <w:bCs/>
          <w:sz w:val="32"/>
          <w:szCs w:val="32"/>
        </w:rPr>
        <w:t>号</w:t>
      </w:r>
    </w:p>
    <w:p>
      <w:pPr>
        <w:spacing w:line="500" w:lineRule="exact"/>
        <w:ind w:firstLine="281" w:firstLineChars="100"/>
        <w:rPr>
          <w:rFonts w:ascii="宋体"/>
          <w:b/>
          <w:bCs/>
          <w:sz w:val="28"/>
          <w:szCs w:val="28"/>
        </w:rPr>
      </w:pPr>
      <w:r>
        <w:rPr>
          <w:rFonts w:hint="eastAsia" w:ascii="宋体" w:hAnsi="宋体" w:cs="宋体"/>
          <w:b/>
          <w:bCs/>
          <w:sz w:val="28"/>
          <w:szCs w:val="28"/>
        </w:rPr>
        <w:t>一</w:t>
      </w:r>
      <w:r>
        <w:rPr>
          <w:rFonts w:ascii="宋体" w:cs="宋体"/>
          <w:b/>
          <w:bCs/>
          <w:sz w:val="28"/>
          <w:szCs w:val="28"/>
        </w:rPr>
        <w:t>.</w:t>
      </w:r>
      <w:r>
        <w:rPr>
          <w:rFonts w:hint="eastAsia" w:ascii="宋体" w:hAnsi="宋体" w:cs="宋体"/>
          <w:b/>
          <w:bCs/>
          <w:sz w:val="28"/>
          <w:szCs w:val="28"/>
        </w:rPr>
        <w:t>委托方</w:t>
      </w:r>
    </w:p>
    <w:p>
      <w:pPr>
        <w:spacing w:line="500" w:lineRule="exact"/>
        <w:ind w:left="424" w:leftChars="202" w:firstLine="600" w:firstLineChars="250"/>
        <w:rPr>
          <w:rFonts w:ascii="宋体"/>
          <w:sz w:val="24"/>
          <w:szCs w:val="24"/>
        </w:rPr>
      </w:pPr>
      <w:r>
        <w:rPr>
          <w:rFonts w:hint="eastAsia" w:ascii="宋体" w:hAnsi="宋体" w:cs="宋体"/>
          <w:sz w:val="24"/>
          <w:szCs w:val="24"/>
        </w:rPr>
        <w:t>委托方：江门市新会区崖门镇人民政府</w:t>
      </w:r>
    </w:p>
    <w:p>
      <w:pPr>
        <w:spacing w:line="500" w:lineRule="exact"/>
        <w:ind w:left="424" w:leftChars="202"/>
        <w:rPr>
          <w:rFonts w:ascii="宋体"/>
          <w:b/>
          <w:bCs/>
          <w:sz w:val="28"/>
          <w:szCs w:val="28"/>
        </w:rPr>
      </w:pPr>
      <w:r>
        <w:rPr>
          <w:rFonts w:hint="eastAsia" w:ascii="宋体" w:hAnsi="宋体" w:cs="宋体"/>
          <w:b/>
          <w:bCs/>
          <w:sz w:val="28"/>
          <w:szCs w:val="28"/>
        </w:rPr>
        <w:t>二、评估目的</w:t>
      </w:r>
    </w:p>
    <w:p>
      <w:pPr>
        <w:spacing w:line="500" w:lineRule="exact"/>
        <w:ind w:left="424" w:leftChars="202" w:firstLine="496" w:firstLineChars="200"/>
        <w:rPr>
          <w:rFonts w:ascii="宋体"/>
          <w:spacing w:val="4"/>
          <w:sz w:val="24"/>
          <w:szCs w:val="24"/>
        </w:rPr>
      </w:pPr>
      <w:r>
        <w:rPr>
          <w:rFonts w:hint="eastAsia" w:ascii="宋体" w:hAnsi="宋体" w:cs="宋体"/>
          <w:spacing w:val="4"/>
          <w:sz w:val="24"/>
          <w:szCs w:val="24"/>
        </w:rPr>
        <w:t>江门市新会区崖门镇人民政府拟公开协议出让位于江门市新会区崖门镇蛇髻顶矿区的一批土方资源公有资产，特委托</w:t>
      </w:r>
      <w:r>
        <w:rPr>
          <w:rFonts w:hint="eastAsia" w:ascii="宋体" w:hAnsi="宋体" w:cs="宋体"/>
          <w:sz w:val="24"/>
          <w:szCs w:val="24"/>
        </w:rPr>
        <w:t>广东正恒资产土地房地产评估有限公司对该批资产进行评估，为上述之经济行为提供出让底价参考意见。</w:t>
      </w:r>
    </w:p>
    <w:p>
      <w:pPr>
        <w:spacing w:line="500" w:lineRule="exact"/>
        <w:ind w:left="424" w:leftChars="202"/>
        <w:rPr>
          <w:rFonts w:ascii="宋体"/>
          <w:b/>
          <w:bCs/>
          <w:sz w:val="28"/>
          <w:szCs w:val="28"/>
        </w:rPr>
      </w:pPr>
      <w:r>
        <w:rPr>
          <w:rFonts w:hint="eastAsia" w:ascii="宋体" w:hAnsi="宋体" w:cs="宋体"/>
          <w:b/>
          <w:bCs/>
          <w:sz w:val="28"/>
          <w:szCs w:val="28"/>
        </w:rPr>
        <w:t>三、评估范围和对象</w:t>
      </w:r>
    </w:p>
    <w:p>
      <w:pPr>
        <w:spacing w:line="500" w:lineRule="exact"/>
        <w:ind w:left="424" w:leftChars="202" w:firstLine="496" w:firstLineChars="200"/>
        <w:rPr>
          <w:rFonts w:ascii="宋体"/>
          <w:spacing w:val="4"/>
          <w:sz w:val="24"/>
          <w:szCs w:val="24"/>
        </w:rPr>
      </w:pPr>
      <w:r>
        <w:rPr>
          <w:rFonts w:hint="eastAsia" w:ascii="宋体" w:hAnsi="宋体" w:cs="宋体"/>
          <w:spacing w:val="4"/>
          <w:sz w:val="24"/>
          <w:szCs w:val="24"/>
        </w:rPr>
        <w:t>评估范围和对象为位于江门市新会区崖门镇蛇髻顶矿区的一批土方资源公有资产，数量为</w:t>
      </w:r>
      <w:r>
        <w:rPr>
          <w:rFonts w:ascii="宋体" w:hAnsi="宋体" w:cs="宋体"/>
          <w:spacing w:val="4"/>
          <w:sz w:val="24"/>
          <w:szCs w:val="24"/>
        </w:rPr>
        <w:t>1,537,000</w:t>
      </w:r>
      <w:r>
        <w:rPr>
          <w:rFonts w:hint="eastAsia" w:ascii="宋体" w:hAnsi="宋体" w:cs="宋体"/>
          <w:spacing w:val="4"/>
          <w:sz w:val="24"/>
          <w:szCs w:val="24"/>
        </w:rPr>
        <w:t>立方米。</w:t>
      </w:r>
    </w:p>
    <w:p>
      <w:pPr>
        <w:spacing w:line="500" w:lineRule="exact"/>
        <w:ind w:left="424" w:leftChars="202"/>
        <w:rPr>
          <w:rFonts w:ascii="宋体"/>
          <w:b/>
          <w:bCs/>
          <w:sz w:val="28"/>
          <w:szCs w:val="28"/>
        </w:rPr>
      </w:pPr>
      <w:r>
        <w:rPr>
          <w:rFonts w:hint="eastAsia" w:ascii="宋体" w:hAnsi="宋体" w:cs="宋体"/>
          <w:b/>
          <w:bCs/>
          <w:sz w:val="28"/>
          <w:szCs w:val="28"/>
        </w:rPr>
        <w:t>四、价值类型</w:t>
      </w:r>
    </w:p>
    <w:p>
      <w:pPr>
        <w:spacing w:line="500" w:lineRule="exact"/>
        <w:ind w:left="424" w:leftChars="202" w:firstLine="480" w:firstLineChars="200"/>
        <w:rPr>
          <w:rFonts w:ascii="宋体"/>
          <w:sz w:val="24"/>
          <w:szCs w:val="24"/>
        </w:rPr>
      </w:pPr>
      <w:r>
        <w:rPr>
          <w:rFonts w:hint="eastAsia" w:ascii="宋体" w:hAnsi="宋体" w:cs="宋体"/>
          <w:sz w:val="24"/>
          <w:szCs w:val="24"/>
        </w:rPr>
        <w:t>根据资产评估目的及资产评估对象的特点等相关条件，本次选择的评估价值类型为出让底价价值评估。</w:t>
      </w:r>
    </w:p>
    <w:p>
      <w:pPr>
        <w:spacing w:line="500" w:lineRule="exact"/>
        <w:ind w:left="424" w:leftChars="202"/>
        <w:rPr>
          <w:rFonts w:ascii="宋体"/>
          <w:b/>
          <w:bCs/>
          <w:sz w:val="28"/>
          <w:szCs w:val="28"/>
        </w:rPr>
      </w:pPr>
      <w:r>
        <w:rPr>
          <w:rFonts w:hint="eastAsia" w:ascii="宋体" w:hAnsi="宋体" w:cs="宋体"/>
          <w:b/>
          <w:bCs/>
          <w:sz w:val="28"/>
          <w:szCs w:val="28"/>
        </w:rPr>
        <w:t>五、评估基准日</w:t>
      </w:r>
    </w:p>
    <w:p>
      <w:pPr>
        <w:spacing w:line="500" w:lineRule="exact"/>
        <w:ind w:left="424" w:leftChars="202" w:firstLine="480" w:firstLineChars="200"/>
        <w:rPr>
          <w:rFonts w:ascii="宋体"/>
          <w:sz w:val="24"/>
          <w:szCs w:val="24"/>
        </w:rPr>
      </w:pPr>
      <w:r>
        <w:rPr>
          <w:rFonts w:hint="eastAsia" w:ascii="宋体" w:hAnsi="宋体" w:cs="宋体"/>
          <w:sz w:val="24"/>
          <w:szCs w:val="24"/>
        </w:rPr>
        <w:t>本项目评估基准日为</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5</w:t>
      </w:r>
      <w:r>
        <w:rPr>
          <w:rFonts w:hint="eastAsia" w:ascii="宋体" w:hAnsi="宋体" w:cs="宋体"/>
          <w:sz w:val="24"/>
          <w:szCs w:val="24"/>
        </w:rPr>
        <w:t>日。</w:t>
      </w:r>
    </w:p>
    <w:p>
      <w:pPr>
        <w:spacing w:line="500" w:lineRule="exact"/>
        <w:ind w:left="424" w:leftChars="202"/>
        <w:rPr>
          <w:rFonts w:ascii="宋体"/>
          <w:b/>
          <w:bCs/>
          <w:sz w:val="28"/>
          <w:szCs w:val="28"/>
        </w:rPr>
      </w:pPr>
      <w:r>
        <w:rPr>
          <w:rFonts w:hint="eastAsia" w:ascii="宋体" w:hAnsi="宋体" w:cs="宋体"/>
          <w:b/>
          <w:bCs/>
          <w:sz w:val="28"/>
          <w:szCs w:val="28"/>
        </w:rPr>
        <w:t>六、评估方法</w:t>
      </w:r>
    </w:p>
    <w:p>
      <w:pPr>
        <w:spacing w:line="500" w:lineRule="exact"/>
        <w:ind w:left="424" w:leftChars="202" w:firstLine="496" w:firstLineChars="200"/>
        <w:rPr>
          <w:rFonts w:ascii="宋体"/>
          <w:sz w:val="24"/>
          <w:szCs w:val="24"/>
        </w:rPr>
      </w:pPr>
      <w:r>
        <w:rPr>
          <w:rFonts w:hint="eastAsia" w:ascii="宋体" w:hAnsi="宋体" w:cs="宋体"/>
          <w:spacing w:val="4"/>
          <w:sz w:val="24"/>
          <w:szCs w:val="24"/>
        </w:rPr>
        <w:t>根</w:t>
      </w:r>
      <w:r>
        <w:rPr>
          <w:rFonts w:hint="eastAsia" w:ascii="宋体" w:hAnsi="宋体" w:cs="宋体"/>
          <w:sz w:val="24"/>
          <w:szCs w:val="24"/>
        </w:rPr>
        <w:t>根据本次评估的对象、目的和现场察看的情况，以及已搜集的数据和资料，进行综合分析，确定采用市场法进行评估。</w:t>
      </w:r>
    </w:p>
    <w:p>
      <w:pPr>
        <w:spacing w:line="500" w:lineRule="exact"/>
        <w:ind w:firstLine="562" w:firstLineChars="200"/>
        <w:rPr>
          <w:rFonts w:ascii="宋体"/>
          <w:b/>
          <w:bCs/>
          <w:sz w:val="28"/>
          <w:szCs w:val="28"/>
        </w:rPr>
      </w:pPr>
      <w:r>
        <w:rPr>
          <w:rFonts w:hint="eastAsia" w:ascii="宋体" w:hAnsi="宋体" w:cs="宋体"/>
          <w:b/>
          <w:bCs/>
          <w:sz w:val="28"/>
          <w:szCs w:val="28"/>
        </w:rPr>
        <w:t>七、评估结论</w:t>
      </w:r>
    </w:p>
    <w:p>
      <w:pPr>
        <w:spacing w:line="500" w:lineRule="exact"/>
        <w:ind w:left="424" w:leftChars="202" w:firstLine="480" w:firstLineChars="200"/>
        <w:rPr>
          <w:rFonts w:ascii="宋体"/>
          <w:sz w:val="24"/>
          <w:szCs w:val="24"/>
        </w:rPr>
      </w:pPr>
      <w:r>
        <w:rPr>
          <w:rFonts w:hint="eastAsia" w:cs="宋体"/>
          <w:sz w:val="24"/>
          <w:szCs w:val="24"/>
        </w:rPr>
        <w:t>江门市新会区崖门镇蛇髻顶矿区土方资源公有资产</w:t>
      </w:r>
      <w:r>
        <w:rPr>
          <w:rFonts w:hint="eastAsia" w:ascii="宋体" w:hAnsi="宋体" w:cs="宋体"/>
          <w:sz w:val="24"/>
          <w:szCs w:val="24"/>
        </w:rPr>
        <w:t>于评估基准日</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5</w:t>
      </w:r>
      <w:r>
        <w:rPr>
          <w:rFonts w:hint="eastAsia" w:ascii="宋体" w:hAnsi="宋体" w:cs="宋体"/>
          <w:sz w:val="24"/>
          <w:szCs w:val="24"/>
        </w:rPr>
        <w:t>日的评估价值为</w:t>
      </w:r>
      <w:r>
        <w:rPr>
          <w:rFonts w:hint="eastAsia" w:ascii="宋体" w:hAnsi="宋体" w:cs="宋体"/>
          <w:b/>
          <w:bCs/>
          <w:sz w:val="24"/>
          <w:szCs w:val="24"/>
        </w:rPr>
        <w:t>人民币贰佰陆拾壹万贰仟玖佰元整（￥</w:t>
      </w:r>
      <w:r>
        <w:rPr>
          <w:rFonts w:ascii="宋体" w:hAnsi="宋体" w:cs="宋体"/>
          <w:b/>
          <w:bCs/>
          <w:sz w:val="24"/>
          <w:szCs w:val="24"/>
        </w:rPr>
        <w:t xml:space="preserve">2,612,900  </w:t>
      </w:r>
      <w:r>
        <w:rPr>
          <w:rFonts w:hint="eastAsia" w:ascii="宋体" w:hAnsi="宋体" w:cs="宋体"/>
          <w:b/>
          <w:bCs/>
          <w:sz w:val="24"/>
          <w:szCs w:val="24"/>
        </w:rPr>
        <w:t>元）</w:t>
      </w:r>
      <w:r>
        <w:rPr>
          <w:rFonts w:hint="eastAsia" w:ascii="宋体" w:hAnsi="宋体" w:cs="宋体"/>
          <w:sz w:val="24"/>
          <w:szCs w:val="24"/>
        </w:rPr>
        <w:t>。</w:t>
      </w:r>
    </w:p>
    <w:p>
      <w:pPr>
        <w:tabs>
          <w:tab w:val="left" w:pos="709"/>
        </w:tabs>
        <w:rPr>
          <w:rFonts w:ascii="仿宋" w:hAnsi="仿宋" w:eastAsia="仿宋" w:cs="仿宋"/>
          <w:sz w:val="32"/>
          <w:szCs w:val="32"/>
        </w:rPr>
        <w:sectPr>
          <w:pgSz w:w="11906" w:h="16838"/>
          <w:pgMar w:top="1134" w:right="1800" w:bottom="1134" w:left="1800" w:header="851" w:footer="992" w:gutter="0"/>
          <w:paperSrc/>
          <w:cols w:space="0" w:num="1"/>
          <w:rtlGutter w:val="0"/>
          <w:docGrid w:type="lines" w:linePitch="312" w:charSpace="0"/>
        </w:sectPr>
      </w:pPr>
    </w:p>
    <w:tbl>
      <w:tblPr>
        <w:tblStyle w:val="6"/>
        <w:tblW w:w="15280" w:type="dxa"/>
        <w:jc w:val="center"/>
        <w:tblInd w:w="0" w:type="dxa"/>
        <w:tblLayout w:type="fixed"/>
        <w:tblCellMar>
          <w:top w:w="0" w:type="dxa"/>
          <w:left w:w="108" w:type="dxa"/>
          <w:bottom w:w="0" w:type="dxa"/>
          <w:right w:w="108" w:type="dxa"/>
        </w:tblCellMar>
      </w:tblPr>
      <w:tblGrid>
        <w:gridCol w:w="777"/>
        <w:gridCol w:w="2410"/>
        <w:gridCol w:w="1525"/>
        <w:gridCol w:w="236"/>
        <w:gridCol w:w="236"/>
        <w:gridCol w:w="1497"/>
        <w:gridCol w:w="1984"/>
        <w:gridCol w:w="1479"/>
        <w:gridCol w:w="1417"/>
        <w:gridCol w:w="1499"/>
        <w:gridCol w:w="1522"/>
        <w:gridCol w:w="698"/>
      </w:tblGrid>
      <w:tr>
        <w:tblPrEx>
          <w:tblLayout w:type="fixed"/>
          <w:tblCellMar>
            <w:top w:w="0" w:type="dxa"/>
            <w:left w:w="108" w:type="dxa"/>
            <w:bottom w:w="0" w:type="dxa"/>
            <w:right w:w="108" w:type="dxa"/>
          </w:tblCellMar>
        </w:tblPrEx>
        <w:trPr>
          <w:trHeight w:val="720" w:hRule="atLeast"/>
          <w:jc w:val="center"/>
        </w:trPr>
        <w:tc>
          <w:tcPr>
            <w:tcW w:w="15280" w:type="dxa"/>
            <w:gridSpan w:val="12"/>
            <w:tcBorders>
              <w:top w:val="nil"/>
              <w:left w:val="nil"/>
              <w:bottom w:val="nil"/>
              <w:right w:val="nil"/>
            </w:tcBorders>
            <w:vAlign w:val="center"/>
          </w:tcPr>
          <w:p>
            <w:pPr>
              <w:widowControl/>
              <w:jc w:val="left"/>
              <w:rPr>
                <w:rFonts w:ascii="宋体"/>
                <w:b/>
                <w:bCs/>
                <w:kern w:val="0"/>
                <w:sz w:val="44"/>
                <w:szCs w:val="44"/>
              </w:rPr>
            </w:pPr>
            <w:r>
              <w:rPr>
                <w:rFonts w:hint="eastAsia" w:ascii="宋体" w:hAnsi="宋体" w:cs="宋体"/>
                <w:b w:val="0"/>
                <w:bCs w:val="0"/>
                <w:kern w:val="0"/>
                <w:sz w:val="36"/>
                <w:szCs w:val="36"/>
                <w:lang w:eastAsia="zh-CN"/>
              </w:rPr>
              <w:t>附件</w:t>
            </w:r>
            <w:r>
              <w:rPr>
                <w:rFonts w:hint="eastAsia" w:ascii="宋体" w:hAnsi="宋体" w:cs="宋体"/>
                <w:b w:val="0"/>
                <w:bCs w:val="0"/>
                <w:kern w:val="0"/>
                <w:sz w:val="36"/>
                <w:szCs w:val="36"/>
                <w:lang w:val="en-US" w:eastAsia="zh-CN"/>
              </w:rPr>
              <w:t xml:space="preserve">2  </w:t>
            </w:r>
            <w:r>
              <w:rPr>
                <w:rFonts w:hint="eastAsia" w:ascii="宋体" w:hAnsi="宋体" w:cs="宋体"/>
                <w:b/>
                <w:bCs/>
                <w:kern w:val="0"/>
                <w:sz w:val="44"/>
                <w:szCs w:val="44"/>
                <w:lang w:val="en-US" w:eastAsia="zh-CN"/>
              </w:rPr>
              <w:t xml:space="preserve">          </w:t>
            </w:r>
            <w:r>
              <w:rPr>
                <w:rFonts w:hint="eastAsia" w:ascii="宋体" w:hAnsi="宋体" w:cs="宋体"/>
                <w:b/>
                <w:bCs/>
                <w:kern w:val="0"/>
                <w:sz w:val="44"/>
                <w:szCs w:val="44"/>
              </w:rPr>
              <w:t>委</w:t>
            </w:r>
            <w:r>
              <w:rPr>
                <w:rFonts w:ascii="宋体" w:hAnsi="宋体" w:cs="宋体"/>
                <w:b/>
                <w:bCs/>
                <w:kern w:val="0"/>
                <w:sz w:val="44"/>
                <w:szCs w:val="44"/>
              </w:rPr>
              <w:t xml:space="preserve"> </w:t>
            </w:r>
            <w:r>
              <w:rPr>
                <w:rFonts w:hint="eastAsia" w:ascii="宋体" w:hAnsi="宋体" w:cs="宋体"/>
                <w:b/>
                <w:bCs/>
                <w:kern w:val="0"/>
                <w:sz w:val="44"/>
                <w:szCs w:val="44"/>
              </w:rPr>
              <w:t>评</w:t>
            </w:r>
            <w:r>
              <w:rPr>
                <w:rFonts w:ascii="宋体" w:hAnsi="宋体" w:cs="宋体"/>
                <w:b/>
                <w:bCs/>
                <w:kern w:val="0"/>
                <w:sz w:val="44"/>
                <w:szCs w:val="44"/>
              </w:rPr>
              <w:t xml:space="preserve"> </w:t>
            </w:r>
            <w:r>
              <w:rPr>
                <w:rFonts w:hint="eastAsia" w:ascii="宋体" w:hAnsi="宋体" w:cs="宋体"/>
                <w:b/>
                <w:bCs/>
                <w:kern w:val="0"/>
                <w:sz w:val="44"/>
                <w:szCs w:val="44"/>
              </w:rPr>
              <w:t>资</w:t>
            </w:r>
            <w:r>
              <w:rPr>
                <w:rFonts w:ascii="宋体" w:hAnsi="宋体" w:cs="宋体"/>
                <w:b/>
                <w:bCs/>
                <w:kern w:val="0"/>
                <w:sz w:val="44"/>
                <w:szCs w:val="44"/>
              </w:rPr>
              <w:t xml:space="preserve"> </w:t>
            </w:r>
            <w:r>
              <w:rPr>
                <w:rFonts w:hint="eastAsia" w:ascii="宋体" w:hAnsi="宋体" w:cs="宋体"/>
                <w:b/>
                <w:bCs/>
                <w:kern w:val="0"/>
                <w:sz w:val="44"/>
                <w:szCs w:val="44"/>
              </w:rPr>
              <w:t>产</w:t>
            </w:r>
            <w:r>
              <w:rPr>
                <w:rFonts w:ascii="宋体" w:hAnsi="宋体" w:cs="宋体"/>
                <w:b/>
                <w:bCs/>
                <w:kern w:val="0"/>
                <w:sz w:val="44"/>
                <w:szCs w:val="44"/>
              </w:rPr>
              <w:t xml:space="preserve"> </w:t>
            </w:r>
            <w:r>
              <w:rPr>
                <w:rFonts w:hint="eastAsia" w:ascii="宋体" w:hAnsi="宋体" w:cs="宋体"/>
                <w:b/>
                <w:bCs/>
                <w:kern w:val="0"/>
                <w:sz w:val="44"/>
                <w:szCs w:val="44"/>
              </w:rPr>
              <w:t>评</w:t>
            </w:r>
            <w:r>
              <w:rPr>
                <w:rFonts w:ascii="宋体" w:hAnsi="宋体" w:cs="宋体"/>
                <w:b/>
                <w:bCs/>
                <w:kern w:val="0"/>
                <w:sz w:val="44"/>
                <w:szCs w:val="44"/>
              </w:rPr>
              <w:t xml:space="preserve"> </w:t>
            </w:r>
            <w:r>
              <w:rPr>
                <w:rFonts w:hint="eastAsia" w:ascii="宋体" w:hAnsi="宋体" w:cs="宋体"/>
                <w:b/>
                <w:bCs/>
                <w:kern w:val="0"/>
                <w:sz w:val="44"/>
                <w:szCs w:val="44"/>
              </w:rPr>
              <w:t>估</w:t>
            </w:r>
            <w:r>
              <w:rPr>
                <w:rFonts w:ascii="宋体" w:hAnsi="宋体" w:cs="宋体"/>
                <w:b/>
                <w:bCs/>
                <w:kern w:val="0"/>
                <w:sz w:val="44"/>
                <w:szCs w:val="44"/>
              </w:rPr>
              <w:t xml:space="preserve"> </w:t>
            </w:r>
            <w:r>
              <w:rPr>
                <w:rFonts w:hint="eastAsia" w:ascii="宋体" w:hAnsi="宋体" w:cs="宋体"/>
                <w:b/>
                <w:bCs/>
                <w:kern w:val="0"/>
                <w:sz w:val="44"/>
                <w:szCs w:val="44"/>
              </w:rPr>
              <w:t>结</w:t>
            </w:r>
            <w:r>
              <w:rPr>
                <w:rFonts w:ascii="宋体" w:hAnsi="宋体" w:cs="宋体"/>
                <w:b/>
                <w:bCs/>
                <w:kern w:val="0"/>
                <w:sz w:val="44"/>
                <w:szCs w:val="44"/>
              </w:rPr>
              <w:t xml:space="preserve"> </w:t>
            </w:r>
            <w:r>
              <w:rPr>
                <w:rFonts w:hint="eastAsia" w:ascii="宋体" w:hAnsi="宋体" w:cs="宋体"/>
                <w:b/>
                <w:bCs/>
                <w:kern w:val="0"/>
                <w:sz w:val="44"/>
                <w:szCs w:val="44"/>
              </w:rPr>
              <w:t>果</w:t>
            </w:r>
            <w:r>
              <w:rPr>
                <w:rFonts w:ascii="宋体" w:hAnsi="宋体" w:cs="宋体"/>
                <w:b/>
                <w:bCs/>
                <w:kern w:val="0"/>
                <w:sz w:val="44"/>
                <w:szCs w:val="44"/>
              </w:rPr>
              <w:t xml:space="preserve"> </w:t>
            </w:r>
            <w:r>
              <w:rPr>
                <w:rFonts w:hint="eastAsia" w:ascii="宋体" w:hAnsi="宋体" w:cs="宋体"/>
                <w:b/>
                <w:bCs/>
                <w:kern w:val="0"/>
                <w:sz w:val="44"/>
                <w:szCs w:val="44"/>
              </w:rPr>
              <w:t>明</w:t>
            </w:r>
            <w:r>
              <w:rPr>
                <w:rFonts w:ascii="宋体" w:hAnsi="宋体" w:cs="宋体"/>
                <w:b/>
                <w:bCs/>
                <w:kern w:val="0"/>
                <w:sz w:val="44"/>
                <w:szCs w:val="44"/>
              </w:rPr>
              <w:t xml:space="preserve"> </w:t>
            </w:r>
            <w:r>
              <w:rPr>
                <w:rFonts w:hint="eastAsia" w:ascii="宋体" w:hAnsi="宋体" w:cs="宋体"/>
                <w:b/>
                <w:bCs/>
                <w:kern w:val="0"/>
                <w:sz w:val="44"/>
                <w:szCs w:val="44"/>
              </w:rPr>
              <w:t>细</w:t>
            </w:r>
            <w:r>
              <w:rPr>
                <w:rFonts w:ascii="宋体" w:hAnsi="宋体" w:cs="宋体"/>
                <w:b/>
                <w:bCs/>
                <w:kern w:val="0"/>
                <w:sz w:val="44"/>
                <w:szCs w:val="44"/>
              </w:rPr>
              <w:t xml:space="preserve"> </w:t>
            </w:r>
            <w:r>
              <w:rPr>
                <w:rFonts w:hint="eastAsia" w:ascii="宋体" w:hAnsi="宋体" w:cs="宋体"/>
                <w:b/>
                <w:bCs/>
                <w:kern w:val="0"/>
                <w:sz w:val="44"/>
                <w:szCs w:val="44"/>
              </w:rPr>
              <w:t>表</w:t>
            </w:r>
            <w:bookmarkStart w:id="0" w:name="_GoBack"/>
            <w:bookmarkEnd w:id="0"/>
          </w:p>
        </w:tc>
      </w:tr>
      <w:tr>
        <w:tblPrEx>
          <w:tblLayout w:type="fixed"/>
          <w:tblCellMar>
            <w:top w:w="0" w:type="dxa"/>
            <w:left w:w="108" w:type="dxa"/>
            <w:bottom w:w="0" w:type="dxa"/>
            <w:right w:w="108" w:type="dxa"/>
          </w:tblCellMar>
        </w:tblPrEx>
        <w:trPr>
          <w:trHeight w:val="600" w:hRule="atLeast"/>
          <w:jc w:val="center"/>
        </w:trPr>
        <w:tc>
          <w:tcPr>
            <w:tcW w:w="15280" w:type="dxa"/>
            <w:gridSpan w:val="12"/>
            <w:tcBorders>
              <w:top w:val="nil"/>
              <w:left w:val="nil"/>
              <w:bottom w:val="single" w:color="auto" w:sz="4" w:space="0"/>
              <w:right w:val="nil"/>
            </w:tcBorders>
            <w:vAlign w:val="center"/>
          </w:tcPr>
          <w:p>
            <w:pPr>
              <w:widowControl/>
              <w:spacing w:line="500" w:lineRule="exact"/>
              <w:jc w:val="center"/>
              <w:rPr>
                <w:rFonts w:ascii="宋体" w:cs="宋体"/>
                <w:kern w:val="0"/>
                <w:sz w:val="24"/>
                <w:szCs w:val="24"/>
              </w:rPr>
            </w:pPr>
            <w:r>
              <w:rPr>
                <w:rFonts w:hint="eastAsia" w:ascii="宋体" w:hAnsi="宋体" w:cs="宋体"/>
                <w:kern w:val="0"/>
                <w:sz w:val="24"/>
                <w:szCs w:val="24"/>
              </w:rPr>
              <w:t>委托方：江门市新会区崖门镇人民政府</w:t>
            </w:r>
            <w:r>
              <w:rPr>
                <w:rFonts w:ascii="宋体" w:hAnsi="宋体" w:cs="宋体"/>
                <w:kern w:val="0"/>
                <w:sz w:val="24"/>
                <w:szCs w:val="24"/>
              </w:rPr>
              <w:t xml:space="preserve">       </w:t>
            </w:r>
            <w:r>
              <w:rPr>
                <w:rFonts w:hint="eastAsia" w:ascii="宋体" w:hAnsi="宋体" w:cs="宋体"/>
                <w:sz w:val="24"/>
                <w:szCs w:val="24"/>
              </w:rPr>
              <w:t>广东正恒资评字</w:t>
            </w:r>
            <w:r>
              <w:rPr>
                <w:rFonts w:ascii="宋体" w:hAnsi="宋体" w:cs="宋体"/>
                <w:sz w:val="24"/>
                <w:szCs w:val="24"/>
              </w:rPr>
              <w:t>[2019]</w:t>
            </w:r>
            <w:r>
              <w:rPr>
                <w:rFonts w:hint="eastAsia" w:ascii="宋体" w:hAnsi="宋体" w:cs="宋体"/>
                <w:sz w:val="24"/>
                <w:szCs w:val="24"/>
              </w:rPr>
              <w:t>第</w:t>
            </w:r>
            <w:r>
              <w:rPr>
                <w:rFonts w:ascii="宋体" w:hAnsi="宋体" w:cs="宋体"/>
                <w:sz w:val="24"/>
                <w:szCs w:val="24"/>
              </w:rPr>
              <w:t>0138</w:t>
            </w:r>
            <w:r>
              <w:rPr>
                <w:rFonts w:hint="eastAsia" w:ascii="宋体" w:hAnsi="宋体" w:cs="宋体"/>
                <w:sz w:val="24"/>
                <w:szCs w:val="24"/>
              </w:rPr>
              <w:t>号</w:t>
            </w:r>
            <w:r>
              <w:rPr>
                <w:rFonts w:ascii="宋体" w:hAnsi="宋体" w:cs="宋体"/>
                <w:kern w:val="0"/>
                <w:sz w:val="24"/>
                <w:szCs w:val="24"/>
              </w:rPr>
              <w:t xml:space="preserve">        </w:t>
            </w:r>
            <w:r>
              <w:rPr>
                <w:rFonts w:hint="eastAsia" w:ascii="宋体" w:hAnsi="宋体" w:cs="宋体"/>
                <w:kern w:val="0"/>
                <w:sz w:val="24"/>
                <w:szCs w:val="24"/>
              </w:rPr>
              <w:t>评估基准日：</w:t>
            </w: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w:t>
            </w:r>
            <w:r>
              <w:rPr>
                <w:rFonts w:ascii="宋体" w:hAnsi="宋体" w:cs="宋体"/>
                <w:kern w:val="0"/>
                <w:sz w:val="24"/>
                <w:szCs w:val="24"/>
              </w:rPr>
              <w:t>5</w:t>
            </w:r>
            <w:r>
              <w:rPr>
                <w:rFonts w:hint="eastAsia" w:ascii="宋体" w:hAnsi="宋体" w:cs="宋体"/>
                <w:kern w:val="0"/>
                <w:sz w:val="24"/>
                <w:szCs w:val="24"/>
              </w:rPr>
              <w:t>日</w:t>
            </w:r>
            <w:r>
              <w:rPr>
                <w:rFonts w:ascii="宋体" w:hAnsi="宋体" w:cs="宋体"/>
                <w:kern w:val="0"/>
                <w:sz w:val="24"/>
                <w:szCs w:val="24"/>
              </w:rPr>
              <w:t xml:space="preserve">        </w:t>
            </w:r>
            <w:r>
              <w:rPr>
                <w:rFonts w:hint="eastAsia" w:ascii="宋体" w:hAnsi="宋体" w:cs="宋体"/>
                <w:kern w:val="0"/>
                <w:sz w:val="24"/>
                <w:szCs w:val="24"/>
              </w:rPr>
              <w:t>货币：人民币</w:t>
            </w:r>
          </w:p>
        </w:tc>
      </w:tr>
      <w:tr>
        <w:tblPrEx>
          <w:tblLayout w:type="fixed"/>
          <w:tblCellMar>
            <w:top w:w="0" w:type="dxa"/>
            <w:left w:w="108" w:type="dxa"/>
            <w:bottom w:w="0" w:type="dxa"/>
            <w:right w:w="108" w:type="dxa"/>
          </w:tblCellMar>
        </w:tblPrEx>
        <w:trPr>
          <w:trHeight w:val="688" w:hRule="atLeast"/>
          <w:jc w:val="center"/>
        </w:trPr>
        <w:tc>
          <w:tcPr>
            <w:tcW w:w="777"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序号</w:t>
            </w:r>
          </w:p>
        </w:tc>
        <w:tc>
          <w:tcPr>
            <w:tcW w:w="2410" w:type="dxa"/>
            <w:tcBorders>
              <w:top w:val="nil"/>
              <w:left w:val="nil"/>
              <w:bottom w:val="single" w:color="auto" w:sz="4" w:space="0"/>
              <w:right w:val="single" w:color="auto"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评估对象</w:t>
            </w:r>
          </w:p>
        </w:tc>
        <w:tc>
          <w:tcPr>
            <w:tcW w:w="3494" w:type="dxa"/>
            <w:gridSpan w:val="4"/>
            <w:tcBorders>
              <w:top w:val="nil"/>
              <w:left w:val="nil"/>
              <w:bottom w:val="single" w:color="auto" w:sz="4" w:space="0"/>
              <w:right w:val="single" w:color="auto" w:sz="4" w:space="0"/>
            </w:tcBorders>
            <w:vAlign w:val="center"/>
          </w:tcPr>
          <w:p>
            <w:pPr>
              <w:widowControl/>
              <w:jc w:val="center"/>
              <w:rPr>
                <w:rFonts w:ascii="宋体"/>
                <w:b/>
                <w:bCs/>
                <w:kern w:val="0"/>
                <w:sz w:val="24"/>
                <w:szCs w:val="24"/>
              </w:rPr>
            </w:pPr>
            <w:r>
              <w:rPr>
                <w:rFonts w:hint="eastAsia" w:ascii="宋体" w:hAnsi="宋体" w:cs="宋体"/>
                <w:b/>
                <w:bCs/>
                <w:kern w:val="0"/>
                <w:sz w:val="24"/>
                <w:szCs w:val="24"/>
              </w:rPr>
              <w:t>地址</w:t>
            </w:r>
          </w:p>
        </w:tc>
        <w:tc>
          <w:tcPr>
            <w:tcW w:w="1984" w:type="dxa"/>
            <w:tcBorders>
              <w:top w:val="nil"/>
              <w:left w:val="nil"/>
              <w:bottom w:val="single" w:color="auto" w:sz="4" w:space="0"/>
              <w:right w:val="single" w:color="auto" w:sz="4" w:space="0"/>
            </w:tcBorders>
            <w:vAlign w:val="center"/>
          </w:tcPr>
          <w:p>
            <w:pPr>
              <w:widowControl/>
              <w:jc w:val="center"/>
              <w:rPr>
                <w:rFonts w:ascii="宋体"/>
                <w:b/>
                <w:bCs/>
                <w:kern w:val="0"/>
                <w:sz w:val="24"/>
                <w:szCs w:val="24"/>
              </w:rPr>
            </w:pPr>
            <w:r>
              <w:rPr>
                <w:rFonts w:hint="eastAsia" w:ascii="宋体" w:hAnsi="宋体" w:cs="宋体"/>
                <w:b/>
                <w:bCs/>
                <w:kern w:val="0"/>
                <w:sz w:val="24"/>
                <w:szCs w:val="24"/>
              </w:rPr>
              <w:t>规格</w:t>
            </w:r>
          </w:p>
        </w:tc>
        <w:tc>
          <w:tcPr>
            <w:tcW w:w="1479" w:type="dxa"/>
            <w:tcBorders>
              <w:top w:val="nil"/>
              <w:left w:val="nil"/>
              <w:bottom w:val="single" w:color="auto" w:sz="4" w:space="0"/>
              <w:right w:val="single" w:color="auto" w:sz="4" w:space="0"/>
            </w:tcBorders>
            <w:vAlign w:val="center"/>
          </w:tcPr>
          <w:p>
            <w:pPr>
              <w:widowControl/>
              <w:jc w:val="center"/>
              <w:rPr>
                <w:rFonts w:ascii="宋体"/>
                <w:b/>
                <w:bCs/>
                <w:kern w:val="0"/>
                <w:sz w:val="24"/>
                <w:szCs w:val="24"/>
              </w:rPr>
            </w:pPr>
            <w:r>
              <w:rPr>
                <w:rFonts w:hint="eastAsia" w:ascii="宋体" w:hAnsi="宋体" w:cs="宋体"/>
                <w:b/>
                <w:bCs/>
                <w:kern w:val="0"/>
                <w:sz w:val="24"/>
                <w:szCs w:val="24"/>
              </w:rPr>
              <w:t>测量数量</w:t>
            </w:r>
          </w:p>
          <w:p>
            <w:pPr>
              <w:widowControl/>
              <w:jc w:val="center"/>
              <w:rPr>
                <w:rFonts w:ascii="宋体"/>
                <w:b/>
                <w:bCs/>
                <w:kern w:val="0"/>
                <w:sz w:val="24"/>
                <w:szCs w:val="24"/>
              </w:rPr>
            </w:pPr>
            <w:r>
              <w:rPr>
                <w:rFonts w:hint="eastAsia" w:ascii="宋体" w:hAnsi="宋体" w:cs="宋体"/>
                <w:b/>
                <w:bCs/>
                <w:kern w:val="0"/>
                <w:sz w:val="24"/>
                <w:szCs w:val="24"/>
              </w:rPr>
              <w:t>（</w:t>
            </w:r>
            <w:r>
              <w:rPr>
                <w:rFonts w:ascii="宋体" w:hAnsi="宋体" w:cs="宋体"/>
                <w:b/>
                <w:bCs/>
                <w:kern w:val="0"/>
                <w:sz w:val="24"/>
                <w:szCs w:val="24"/>
              </w:rPr>
              <w:t>m</w:t>
            </w:r>
            <w:r>
              <w:rPr>
                <w:rFonts w:hint="eastAsia" w:ascii="宋体" w:hAnsi="宋体" w:cs="宋体"/>
                <w:b/>
                <w:bCs/>
                <w:kern w:val="0"/>
                <w:sz w:val="24"/>
                <w:szCs w:val="24"/>
              </w:rPr>
              <w:t>³）</w:t>
            </w:r>
          </w:p>
        </w:tc>
        <w:tc>
          <w:tcPr>
            <w:tcW w:w="1417" w:type="dxa"/>
            <w:tcBorders>
              <w:top w:val="nil"/>
              <w:left w:val="nil"/>
              <w:bottom w:val="single" w:color="auto" w:sz="4" w:space="0"/>
              <w:right w:val="single" w:color="auto" w:sz="4" w:space="0"/>
            </w:tcBorders>
            <w:vAlign w:val="center"/>
          </w:tcPr>
          <w:p>
            <w:pPr>
              <w:widowControl/>
              <w:jc w:val="center"/>
              <w:rPr>
                <w:rFonts w:ascii="宋体"/>
                <w:b/>
                <w:bCs/>
                <w:kern w:val="0"/>
                <w:sz w:val="24"/>
                <w:szCs w:val="24"/>
              </w:rPr>
            </w:pPr>
            <w:r>
              <w:rPr>
                <w:rFonts w:hint="eastAsia" w:ascii="宋体" w:hAnsi="宋体" w:cs="宋体"/>
                <w:b/>
                <w:bCs/>
                <w:kern w:val="0"/>
                <w:sz w:val="24"/>
                <w:szCs w:val="24"/>
              </w:rPr>
              <w:t>评估数量</w:t>
            </w:r>
            <w:r>
              <w:rPr>
                <w:rFonts w:ascii="宋体" w:hAnsi="宋体" w:cs="宋体"/>
                <w:b/>
                <w:bCs/>
                <w:kern w:val="0"/>
                <w:sz w:val="24"/>
                <w:szCs w:val="24"/>
              </w:rPr>
              <w:t xml:space="preserve"> </w:t>
            </w:r>
          </w:p>
          <w:p>
            <w:pPr>
              <w:widowControl/>
              <w:jc w:val="center"/>
              <w:rPr>
                <w:rFonts w:ascii="宋体"/>
                <w:b/>
                <w:bCs/>
                <w:kern w:val="0"/>
                <w:sz w:val="24"/>
                <w:szCs w:val="24"/>
              </w:rPr>
            </w:pPr>
            <w:r>
              <w:rPr>
                <w:rFonts w:hint="eastAsia" w:ascii="宋体" w:hAnsi="宋体" w:cs="宋体"/>
                <w:b/>
                <w:bCs/>
                <w:kern w:val="0"/>
                <w:sz w:val="24"/>
                <w:szCs w:val="24"/>
              </w:rPr>
              <w:t>（</w:t>
            </w:r>
            <w:r>
              <w:rPr>
                <w:rFonts w:ascii="宋体" w:hAnsi="宋体" w:cs="宋体"/>
                <w:b/>
                <w:bCs/>
                <w:kern w:val="0"/>
                <w:sz w:val="24"/>
                <w:szCs w:val="24"/>
              </w:rPr>
              <w:t>m</w:t>
            </w:r>
            <w:r>
              <w:rPr>
                <w:rFonts w:hint="eastAsia" w:ascii="宋体" w:hAnsi="宋体" w:cs="宋体"/>
                <w:b/>
                <w:bCs/>
                <w:kern w:val="0"/>
                <w:sz w:val="24"/>
                <w:szCs w:val="24"/>
              </w:rPr>
              <w:t>³）</w:t>
            </w:r>
          </w:p>
        </w:tc>
        <w:tc>
          <w:tcPr>
            <w:tcW w:w="1499" w:type="dxa"/>
            <w:tcBorders>
              <w:top w:val="nil"/>
              <w:left w:val="nil"/>
              <w:bottom w:val="single" w:color="auto" w:sz="4" w:space="0"/>
              <w:right w:val="single" w:color="auto" w:sz="4" w:space="0"/>
            </w:tcBorders>
            <w:vAlign w:val="center"/>
          </w:tcPr>
          <w:p>
            <w:pPr>
              <w:jc w:val="center"/>
              <w:rPr>
                <w:rFonts w:ascii="宋体"/>
                <w:b/>
                <w:bCs/>
                <w:kern w:val="0"/>
                <w:sz w:val="24"/>
                <w:szCs w:val="24"/>
              </w:rPr>
            </w:pPr>
            <w:r>
              <w:rPr>
                <w:rFonts w:hint="eastAsia" w:ascii="宋体" w:hAnsi="宋体" w:cs="宋体"/>
                <w:b/>
                <w:bCs/>
                <w:kern w:val="0"/>
                <w:sz w:val="24"/>
                <w:szCs w:val="24"/>
              </w:rPr>
              <w:t>评估单价</w:t>
            </w:r>
          </w:p>
          <w:p>
            <w:pPr>
              <w:jc w:val="center"/>
              <w:rPr>
                <w:rFonts w:ascii="宋体"/>
                <w:b/>
                <w:bCs/>
                <w:kern w:val="0"/>
                <w:sz w:val="24"/>
                <w:szCs w:val="24"/>
              </w:rPr>
            </w:pPr>
            <w:r>
              <w:rPr>
                <w:rFonts w:hint="eastAsia" w:ascii="宋体" w:hAnsi="宋体" w:cs="宋体"/>
                <w:b/>
                <w:bCs/>
                <w:kern w:val="0"/>
                <w:sz w:val="24"/>
                <w:szCs w:val="24"/>
              </w:rPr>
              <w:t>（元</w:t>
            </w:r>
            <w:r>
              <w:rPr>
                <w:rFonts w:ascii="宋体" w:hAnsi="宋体" w:cs="宋体"/>
                <w:b/>
                <w:bCs/>
                <w:kern w:val="0"/>
                <w:sz w:val="24"/>
                <w:szCs w:val="24"/>
              </w:rPr>
              <w:t>/m</w:t>
            </w:r>
            <w:r>
              <w:rPr>
                <w:rFonts w:hint="eastAsia" w:ascii="宋体" w:hAnsi="宋体" w:cs="宋体"/>
                <w:b/>
                <w:bCs/>
                <w:kern w:val="0"/>
                <w:sz w:val="24"/>
                <w:szCs w:val="24"/>
              </w:rPr>
              <w:t>³）</w:t>
            </w:r>
          </w:p>
        </w:tc>
        <w:tc>
          <w:tcPr>
            <w:tcW w:w="1522" w:type="dxa"/>
            <w:tcBorders>
              <w:top w:val="nil"/>
              <w:left w:val="nil"/>
              <w:bottom w:val="single" w:color="auto" w:sz="4" w:space="0"/>
              <w:right w:val="single" w:color="auto" w:sz="4" w:space="0"/>
            </w:tcBorders>
            <w:vAlign w:val="center"/>
          </w:tcPr>
          <w:p>
            <w:pPr>
              <w:widowControl/>
              <w:jc w:val="center"/>
              <w:rPr>
                <w:rFonts w:ascii="宋体"/>
                <w:b/>
                <w:bCs/>
                <w:kern w:val="0"/>
                <w:sz w:val="24"/>
                <w:szCs w:val="24"/>
              </w:rPr>
            </w:pPr>
            <w:r>
              <w:rPr>
                <w:rFonts w:hint="eastAsia" w:ascii="宋体" w:hAnsi="宋体" w:cs="宋体"/>
                <w:b/>
                <w:bCs/>
                <w:kern w:val="0"/>
                <w:sz w:val="24"/>
                <w:szCs w:val="24"/>
              </w:rPr>
              <w:t>评估总价（元）</w:t>
            </w:r>
          </w:p>
        </w:tc>
        <w:tc>
          <w:tcPr>
            <w:tcW w:w="698" w:type="dxa"/>
            <w:tcBorders>
              <w:top w:val="nil"/>
              <w:left w:val="nil"/>
              <w:bottom w:val="single" w:color="auto" w:sz="4" w:space="0"/>
              <w:right w:val="single" w:color="auto"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备注</w:t>
            </w:r>
          </w:p>
        </w:tc>
      </w:tr>
      <w:tr>
        <w:tblPrEx>
          <w:tblLayout w:type="fixed"/>
          <w:tblCellMar>
            <w:top w:w="0" w:type="dxa"/>
            <w:left w:w="108" w:type="dxa"/>
            <w:bottom w:w="0" w:type="dxa"/>
            <w:right w:w="108" w:type="dxa"/>
          </w:tblCellMar>
        </w:tblPrEx>
        <w:trPr>
          <w:trHeight w:val="1230" w:hRule="atLeast"/>
          <w:jc w:val="center"/>
        </w:trPr>
        <w:tc>
          <w:tcPr>
            <w:tcW w:w="77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ascii="宋体" w:hAnsi="宋体" w:cs="宋体"/>
                <w:kern w:val="0"/>
                <w:sz w:val="24"/>
                <w:szCs w:val="24"/>
              </w:rPr>
              <w:t>1</w:t>
            </w:r>
          </w:p>
        </w:tc>
        <w:tc>
          <w:tcPr>
            <w:tcW w:w="2410" w:type="dxa"/>
            <w:tcBorders>
              <w:top w:val="nil"/>
              <w:left w:val="nil"/>
              <w:bottom w:val="single" w:color="auto" w:sz="4" w:space="0"/>
              <w:right w:val="single" w:color="000000" w:sz="4" w:space="0"/>
            </w:tcBorders>
            <w:vAlign w:val="center"/>
          </w:tcPr>
          <w:p>
            <w:pPr>
              <w:widowControl/>
              <w:jc w:val="center"/>
              <w:rPr>
                <w:rFonts w:ascii="宋体" w:cs="宋体"/>
                <w:kern w:val="0"/>
                <w:sz w:val="24"/>
                <w:szCs w:val="24"/>
              </w:rPr>
            </w:pPr>
            <w:r>
              <w:rPr>
                <w:rFonts w:hint="eastAsia" w:ascii="宋体" w:hAnsi="宋体" w:cs="宋体"/>
                <w:kern w:val="0"/>
                <w:sz w:val="24"/>
                <w:szCs w:val="24"/>
              </w:rPr>
              <w:t>江门市新会区崖门镇蛇髻顶矿区土方资源</w:t>
            </w:r>
          </w:p>
        </w:tc>
        <w:tc>
          <w:tcPr>
            <w:tcW w:w="3494" w:type="dxa"/>
            <w:gridSpan w:val="4"/>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江门市新会区崖门镇蛇髻顶矿区（江门市新会区崖门镇泰盛石业有限公司经营范围内）</w:t>
            </w:r>
            <w:r>
              <w:rPr>
                <w:rFonts w:ascii="宋体" w:hAnsi="宋体" w:cs="宋体"/>
                <w:kern w:val="0"/>
                <w:sz w:val="24"/>
                <w:szCs w:val="24"/>
              </w:rPr>
              <w:t xml:space="preserve"> </w:t>
            </w:r>
          </w:p>
        </w:tc>
        <w:tc>
          <w:tcPr>
            <w:tcW w:w="198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山体剥离层（强风化、第四系残坡积土）</w:t>
            </w:r>
          </w:p>
        </w:tc>
        <w:tc>
          <w:tcPr>
            <w:tcW w:w="1479" w:type="dxa"/>
            <w:tcBorders>
              <w:top w:val="nil"/>
              <w:left w:val="nil"/>
              <w:bottom w:val="single" w:color="auto" w:sz="4" w:space="0"/>
              <w:right w:val="single" w:color="auto" w:sz="4" w:space="0"/>
            </w:tcBorders>
            <w:vAlign w:val="center"/>
          </w:tcPr>
          <w:p>
            <w:pPr>
              <w:jc w:val="center"/>
              <w:rPr>
                <w:rFonts w:ascii="宋体"/>
                <w:kern w:val="0"/>
                <w:sz w:val="24"/>
                <w:szCs w:val="24"/>
              </w:rPr>
            </w:pPr>
            <w:r>
              <w:rPr>
                <w:rFonts w:ascii="宋体" w:hAnsi="宋体" w:cs="宋体"/>
                <w:kern w:val="0"/>
                <w:sz w:val="24"/>
                <w:szCs w:val="24"/>
              </w:rPr>
              <w:t xml:space="preserve">5,014,900 </w:t>
            </w:r>
          </w:p>
        </w:tc>
        <w:tc>
          <w:tcPr>
            <w:tcW w:w="1417" w:type="dxa"/>
            <w:tcBorders>
              <w:top w:val="nil"/>
              <w:left w:val="nil"/>
              <w:bottom w:val="single" w:color="auto" w:sz="4" w:space="0"/>
              <w:right w:val="single" w:color="auto" w:sz="4" w:space="0"/>
            </w:tcBorders>
            <w:vAlign w:val="center"/>
          </w:tcPr>
          <w:p>
            <w:pPr>
              <w:jc w:val="center"/>
              <w:rPr>
                <w:rFonts w:ascii="宋体"/>
                <w:kern w:val="0"/>
                <w:sz w:val="24"/>
                <w:szCs w:val="24"/>
              </w:rPr>
            </w:pPr>
            <w:r>
              <w:rPr>
                <w:rFonts w:ascii="宋体" w:hAnsi="宋体" w:cs="宋体"/>
                <w:kern w:val="0"/>
                <w:sz w:val="24"/>
                <w:szCs w:val="24"/>
              </w:rPr>
              <w:t xml:space="preserve">1,537,000 </w:t>
            </w:r>
          </w:p>
        </w:tc>
        <w:tc>
          <w:tcPr>
            <w:tcW w:w="1499" w:type="dxa"/>
            <w:tcBorders>
              <w:top w:val="nil"/>
              <w:left w:val="nil"/>
              <w:bottom w:val="single" w:color="auto" w:sz="4" w:space="0"/>
              <w:right w:val="single" w:color="auto" w:sz="4" w:space="0"/>
            </w:tcBorders>
            <w:vAlign w:val="center"/>
          </w:tcPr>
          <w:p>
            <w:pPr>
              <w:jc w:val="center"/>
              <w:rPr>
                <w:rFonts w:ascii="宋体"/>
                <w:kern w:val="0"/>
                <w:sz w:val="24"/>
                <w:szCs w:val="24"/>
              </w:rPr>
            </w:pPr>
            <w:r>
              <w:rPr>
                <w:rFonts w:ascii="宋体" w:hAnsi="宋体" w:cs="宋体"/>
                <w:kern w:val="0"/>
                <w:sz w:val="24"/>
                <w:szCs w:val="24"/>
              </w:rPr>
              <w:t>1.70</w:t>
            </w:r>
          </w:p>
        </w:tc>
        <w:tc>
          <w:tcPr>
            <w:tcW w:w="1522" w:type="dxa"/>
            <w:tcBorders>
              <w:top w:val="nil"/>
              <w:left w:val="nil"/>
              <w:bottom w:val="single" w:color="auto" w:sz="4" w:space="0"/>
              <w:right w:val="single" w:color="auto" w:sz="4" w:space="0"/>
            </w:tcBorders>
            <w:vAlign w:val="center"/>
          </w:tcPr>
          <w:p>
            <w:pPr>
              <w:jc w:val="center"/>
              <w:rPr>
                <w:rFonts w:ascii="宋体"/>
                <w:kern w:val="0"/>
                <w:sz w:val="24"/>
                <w:szCs w:val="24"/>
              </w:rPr>
            </w:pPr>
            <w:r>
              <w:rPr>
                <w:rFonts w:ascii="宋体" w:hAnsi="宋体" w:cs="宋体"/>
                <w:kern w:val="0"/>
                <w:sz w:val="24"/>
                <w:szCs w:val="24"/>
              </w:rPr>
              <w:t xml:space="preserve">2,612,900  </w:t>
            </w:r>
          </w:p>
        </w:tc>
        <w:tc>
          <w:tcPr>
            <w:tcW w:w="698" w:type="dxa"/>
            <w:tcBorders>
              <w:top w:val="nil"/>
              <w:left w:val="nil"/>
              <w:bottom w:val="single" w:color="auto" w:sz="4" w:space="0"/>
              <w:right w:val="single" w:color="auto" w:sz="4" w:space="0"/>
            </w:tcBorders>
            <w:vAlign w:val="center"/>
          </w:tcPr>
          <w:p>
            <w:pPr>
              <w:widowControl/>
              <w:rPr>
                <w:rFonts w:ascii="宋体" w:cs="宋体"/>
                <w:kern w:val="0"/>
                <w:sz w:val="24"/>
                <w:szCs w:val="24"/>
              </w:rPr>
            </w:pPr>
          </w:p>
        </w:tc>
      </w:tr>
      <w:tr>
        <w:tblPrEx>
          <w:tblLayout w:type="fixed"/>
          <w:tblCellMar>
            <w:top w:w="0" w:type="dxa"/>
            <w:left w:w="108" w:type="dxa"/>
            <w:bottom w:w="0" w:type="dxa"/>
            <w:right w:w="108" w:type="dxa"/>
          </w:tblCellMar>
        </w:tblPrEx>
        <w:trPr>
          <w:trHeight w:val="630" w:hRule="atLeast"/>
          <w:jc w:val="center"/>
        </w:trPr>
        <w:tc>
          <w:tcPr>
            <w:tcW w:w="13060"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合计</w:t>
            </w:r>
          </w:p>
        </w:tc>
        <w:tc>
          <w:tcPr>
            <w:tcW w:w="1522"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ascii="宋体" w:hAnsi="宋体" w:cs="宋体"/>
                <w:b/>
                <w:bCs/>
                <w:kern w:val="0"/>
                <w:sz w:val="24"/>
                <w:szCs w:val="24"/>
              </w:rPr>
              <w:t xml:space="preserve">2,612,900 </w:t>
            </w:r>
          </w:p>
        </w:tc>
        <w:tc>
          <w:tcPr>
            <w:tcW w:w="69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jc w:val="center"/>
        </w:trPr>
        <w:tc>
          <w:tcPr>
            <w:tcW w:w="777" w:type="dxa"/>
            <w:tcBorders>
              <w:top w:val="nil"/>
              <w:left w:val="nil"/>
              <w:bottom w:val="nil"/>
              <w:right w:val="nil"/>
            </w:tcBorders>
            <w:vAlign w:val="bottom"/>
          </w:tcPr>
          <w:p>
            <w:pPr>
              <w:widowControl/>
              <w:jc w:val="center"/>
              <w:rPr>
                <w:rFonts w:ascii="宋体" w:cs="宋体"/>
                <w:kern w:val="0"/>
                <w:sz w:val="24"/>
                <w:szCs w:val="24"/>
              </w:rPr>
            </w:pPr>
          </w:p>
        </w:tc>
        <w:tc>
          <w:tcPr>
            <w:tcW w:w="2410" w:type="dxa"/>
            <w:tcBorders>
              <w:top w:val="nil"/>
              <w:left w:val="nil"/>
              <w:bottom w:val="nil"/>
              <w:right w:val="nil"/>
            </w:tcBorders>
            <w:vAlign w:val="bottom"/>
          </w:tcPr>
          <w:p>
            <w:pPr>
              <w:widowControl/>
              <w:jc w:val="center"/>
              <w:rPr>
                <w:rFonts w:ascii="宋体" w:cs="宋体"/>
                <w:kern w:val="0"/>
                <w:sz w:val="24"/>
                <w:szCs w:val="24"/>
              </w:rPr>
            </w:pPr>
          </w:p>
        </w:tc>
        <w:tc>
          <w:tcPr>
            <w:tcW w:w="1525" w:type="dxa"/>
            <w:tcBorders>
              <w:top w:val="nil"/>
              <w:left w:val="nil"/>
              <w:bottom w:val="nil"/>
              <w:right w:val="nil"/>
            </w:tcBorders>
            <w:vAlign w:val="bottom"/>
          </w:tcPr>
          <w:p>
            <w:pPr>
              <w:widowControl/>
              <w:jc w:val="center"/>
              <w:rPr>
                <w:rFonts w:ascii="宋体" w:cs="宋体"/>
                <w:kern w:val="0"/>
                <w:sz w:val="24"/>
                <w:szCs w:val="24"/>
              </w:rPr>
            </w:pPr>
          </w:p>
        </w:tc>
        <w:tc>
          <w:tcPr>
            <w:tcW w:w="236" w:type="dxa"/>
            <w:tcBorders>
              <w:top w:val="nil"/>
              <w:left w:val="nil"/>
              <w:bottom w:val="nil"/>
              <w:right w:val="nil"/>
            </w:tcBorders>
            <w:vAlign w:val="bottom"/>
          </w:tcPr>
          <w:p>
            <w:pPr>
              <w:widowControl/>
              <w:jc w:val="center"/>
              <w:rPr>
                <w:rFonts w:ascii="宋体" w:cs="宋体"/>
                <w:kern w:val="0"/>
                <w:sz w:val="24"/>
                <w:szCs w:val="24"/>
              </w:rPr>
            </w:pPr>
          </w:p>
        </w:tc>
        <w:tc>
          <w:tcPr>
            <w:tcW w:w="236" w:type="dxa"/>
            <w:tcBorders>
              <w:top w:val="nil"/>
              <w:left w:val="nil"/>
              <w:bottom w:val="nil"/>
              <w:right w:val="nil"/>
            </w:tcBorders>
            <w:vAlign w:val="bottom"/>
          </w:tcPr>
          <w:p>
            <w:pPr>
              <w:widowControl/>
              <w:jc w:val="center"/>
              <w:rPr>
                <w:rFonts w:ascii="宋体" w:cs="宋体"/>
                <w:kern w:val="0"/>
                <w:sz w:val="24"/>
                <w:szCs w:val="24"/>
              </w:rPr>
            </w:pPr>
          </w:p>
        </w:tc>
        <w:tc>
          <w:tcPr>
            <w:tcW w:w="3481" w:type="dxa"/>
            <w:gridSpan w:val="2"/>
            <w:tcBorders>
              <w:top w:val="nil"/>
              <w:left w:val="nil"/>
              <w:bottom w:val="nil"/>
              <w:right w:val="nil"/>
            </w:tcBorders>
            <w:vAlign w:val="bottom"/>
          </w:tcPr>
          <w:p>
            <w:pPr>
              <w:widowControl/>
              <w:jc w:val="center"/>
              <w:rPr>
                <w:rFonts w:ascii="宋体" w:cs="宋体"/>
                <w:kern w:val="0"/>
                <w:sz w:val="24"/>
                <w:szCs w:val="24"/>
              </w:rPr>
            </w:pPr>
          </w:p>
        </w:tc>
        <w:tc>
          <w:tcPr>
            <w:tcW w:w="2896" w:type="dxa"/>
            <w:gridSpan w:val="2"/>
            <w:tcBorders>
              <w:top w:val="nil"/>
              <w:left w:val="nil"/>
              <w:bottom w:val="nil"/>
              <w:right w:val="nil"/>
            </w:tcBorders>
            <w:vAlign w:val="bottom"/>
          </w:tcPr>
          <w:p>
            <w:pPr>
              <w:widowControl/>
              <w:jc w:val="center"/>
              <w:rPr>
                <w:rFonts w:ascii="宋体" w:cs="宋体"/>
                <w:kern w:val="0"/>
                <w:sz w:val="24"/>
                <w:szCs w:val="24"/>
              </w:rPr>
            </w:pPr>
          </w:p>
        </w:tc>
        <w:tc>
          <w:tcPr>
            <w:tcW w:w="3719" w:type="dxa"/>
            <w:gridSpan w:val="3"/>
            <w:tcBorders>
              <w:top w:val="nil"/>
              <w:left w:val="nil"/>
              <w:bottom w:val="nil"/>
              <w:right w:val="nil"/>
            </w:tcBorders>
            <w:vAlign w:val="center"/>
          </w:tcPr>
          <w:p>
            <w:pPr>
              <w:widowControl/>
              <w:spacing w:line="640" w:lineRule="exact"/>
              <w:jc w:val="center"/>
              <w:rPr>
                <w:rFonts w:ascii="宋体" w:cs="宋体"/>
                <w:kern w:val="0"/>
                <w:sz w:val="24"/>
                <w:szCs w:val="24"/>
              </w:rPr>
            </w:pPr>
          </w:p>
        </w:tc>
      </w:tr>
    </w:tbl>
    <w:p>
      <w:pPr>
        <w:ind w:right="147"/>
        <w:rPr>
          <w:rFonts w:ascii="宋体" w:cs="宋体"/>
          <w:kern w:val="0"/>
          <w:sz w:val="24"/>
          <w:szCs w:val="24"/>
        </w:rPr>
      </w:pPr>
      <w:r>
        <w:rPr>
          <w:rFonts w:hint="eastAsia" w:ascii="宋体" w:hAnsi="宋体" w:cs="宋体"/>
          <w:kern w:val="0"/>
          <w:sz w:val="24"/>
          <w:szCs w:val="24"/>
        </w:rPr>
        <w:t>需要说明事项：</w:t>
      </w:r>
    </w:p>
    <w:p>
      <w:pPr>
        <w:ind w:right="147"/>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、本次评估以委托方提供的</w:t>
      </w:r>
      <w:r>
        <w:rPr>
          <w:rFonts w:hint="eastAsia" w:ascii="宋体" w:hAnsi="宋体" w:cs="宋体"/>
          <w:sz w:val="24"/>
          <w:szCs w:val="24"/>
        </w:rPr>
        <w:t>《江门市新会区崖门镇蛇髻顶矿区剥土量检测报告》复印件</w:t>
      </w:r>
      <w:r>
        <w:rPr>
          <w:rFonts w:hint="eastAsia" w:cs="宋体"/>
          <w:sz w:val="24"/>
          <w:szCs w:val="24"/>
        </w:rPr>
        <w:t>为基础。</w:t>
      </w:r>
    </w:p>
    <w:p>
      <w:pPr>
        <w:ind w:right="147"/>
        <w:rPr>
          <w:rFonts w:ascii="宋体"/>
          <w:sz w:val="24"/>
          <w:szCs w:val="24"/>
        </w:rPr>
      </w:pPr>
      <w:r>
        <w:rPr>
          <w:rFonts w:ascii="宋体" w:hAnsi="宋体" w:cs="宋体"/>
          <w:kern w:val="0"/>
          <w:sz w:val="24"/>
          <w:szCs w:val="24"/>
        </w:rPr>
        <w:t>2</w:t>
      </w:r>
      <w:r>
        <w:rPr>
          <w:rFonts w:hint="eastAsia" w:ascii="宋体" w:hAnsi="宋体" w:cs="宋体"/>
          <w:kern w:val="0"/>
          <w:sz w:val="24"/>
          <w:szCs w:val="24"/>
        </w:rPr>
        <w:t>、</w:t>
      </w:r>
      <w:r>
        <w:rPr>
          <w:rFonts w:hint="eastAsia" w:ascii="宋体" w:hAnsi="宋体" w:cs="宋体"/>
          <w:sz w:val="24"/>
          <w:szCs w:val="24"/>
        </w:rPr>
        <w:t>本评估报告结果价值不含土方开挖</w:t>
      </w:r>
      <w:r>
        <w:rPr>
          <w:rFonts w:ascii="宋体" w:hAnsi="宋体" w:cs="宋体"/>
          <w:sz w:val="24"/>
          <w:szCs w:val="24"/>
        </w:rPr>
        <w:t>/</w:t>
      </w:r>
      <w:r>
        <w:rPr>
          <w:rFonts w:hint="eastAsia" w:ascii="宋体" w:hAnsi="宋体" w:cs="宋体"/>
          <w:sz w:val="24"/>
          <w:szCs w:val="24"/>
        </w:rPr>
        <w:t>开采费用、装卸费用、运输费用及出让时所产生的税费。</w:t>
      </w:r>
    </w:p>
    <w:p>
      <w:pPr>
        <w:ind w:right="147"/>
        <w:rPr>
          <w:rFonts w:ascii="宋体"/>
          <w:sz w:val="24"/>
          <w:szCs w:val="24"/>
        </w:rPr>
      </w:pPr>
      <w:r>
        <w:rPr>
          <w:rFonts w:ascii="宋体" w:hAnsi="宋体" w:cs="宋体"/>
          <w:sz w:val="24"/>
          <w:szCs w:val="24"/>
        </w:rPr>
        <w:t>3</w:t>
      </w:r>
      <w:r>
        <w:rPr>
          <w:rFonts w:hint="eastAsia" w:ascii="宋体" w:hAnsi="宋体" w:cs="宋体"/>
          <w:sz w:val="24"/>
          <w:szCs w:val="24"/>
        </w:rPr>
        <w:t>、本报告为委托方拟进行土方资源出让之经济行为提供出让底价参考依据，不作其他用途。</w:t>
      </w:r>
    </w:p>
    <w:p>
      <w:pPr>
        <w:ind w:right="147"/>
        <w:rPr>
          <w:rFonts w:ascii="宋体"/>
          <w:sz w:val="24"/>
          <w:szCs w:val="24"/>
        </w:rPr>
      </w:pPr>
      <w:r>
        <w:rPr>
          <w:rFonts w:ascii="宋体" w:hAnsi="宋体" w:cs="宋体"/>
          <w:sz w:val="24"/>
          <w:szCs w:val="24"/>
        </w:rPr>
        <w:t>4</w:t>
      </w:r>
      <w:r>
        <w:rPr>
          <w:rFonts w:hint="eastAsia" w:ascii="宋体" w:hAnsi="宋体" w:cs="宋体"/>
          <w:sz w:val="24"/>
          <w:szCs w:val="24"/>
        </w:rPr>
        <w:t>、本报告有效期一年，逾期需重新评估。</w:t>
      </w:r>
    </w:p>
    <w:p>
      <w:pPr>
        <w:ind w:right="147"/>
        <w:jc w:val="right"/>
        <w:rPr>
          <w:rFonts w:ascii="宋体" w:cs="宋体"/>
          <w:kern w:val="0"/>
          <w:sz w:val="24"/>
          <w:szCs w:val="24"/>
        </w:rPr>
      </w:pPr>
    </w:p>
    <w:p>
      <w:pPr>
        <w:ind w:right="147"/>
        <w:jc w:val="right"/>
        <w:rPr>
          <w:rFonts w:ascii="宋体" w:cs="宋体"/>
          <w:kern w:val="0"/>
          <w:sz w:val="24"/>
          <w:szCs w:val="24"/>
        </w:rPr>
      </w:pPr>
      <w:r>
        <w:rPr>
          <w:rFonts w:hint="eastAsia" w:ascii="宋体" w:hAnsi="宋体" w:cs="宋体"/>
          <w:kern w:val="0"/>
          <w:sz w:val="24"/>
          <w:szCs w:val="24"/>
        </w:rPr>
        <w:t>广东正恒资产土地房地产评估有限公司</w:t>
      </w:r>
    </w:p>
    <w:p>
      <w:pPr>
        <w:ind w:right="147"/>
        <w:jc w:val="center"/>
        <w:rPr>
          <w:rFonts w:ascii="宋体" w:cs="宋体"/>
          <w:color w:val="000000"/>
          <w:sz w:val="30"/>
          <w:szCs w:val="30"/>
        </w:rPr>
        <w:sectPr>
          <w:pgSz w:w="16838" w:h="11906" w:orient="landscape"/>
          <w:pgMar w:top="1418" w:right="1418" w:bottom="1418" w:left="1418" w:header="851" w:footer="992" w:gutter="0"/>
          <w:cols w:space="425" w:num="1"/>
          <w:docGrid w:type="linesAndChars" w:linePitch="312" w:charSpace="0"/>
        </w:sectPr>
      </w:pPr>
      <w:r>
        <w:rPr>
          <w:rFonts w:ascii="宋体" w:hAnsi="宋体" w:cs="宋体"/>
          <w:kern w:val="0"/>
          <w:sz w:val="24"/>
          <w:szCs w:val="24"/>
        </w:rPr>
        <w:t xml:space="preserve">                                                                            </w:t>
      </w:r>
      <w:r>
        <w:rPr>
          <w:rFonts w:ascii="宋体" w:hAnsi="宋体" w:cs="宋体"/>
          <w:color w:val="000000"/>
          <w:kern w:val="0"/>
          <w:sz w:val="24"/>
          <w:szCs w:val="24"/>
        </w:rPr>
        <w:t xml:space="preserve"> 2020</w:t>
      </w:r>
      <w:r>
        <w:rPr>
          <w:rFonts w:hint="eastAsia" w:ascii="宋体" w:hAnsi="宋体" w:cs="宋体"/>
          <w:color w:val="000000"/>
          <w:kern w:val="0"/>
          <w:sz w:val="24"/>
          <w:szCs w:val="24"/>
        </w:rPr>
        <w:t>年</w:t>
      </w:r>
      <w:r>
        <w:rPr>
          <w:rFonts w:ascii="宋体" w:hAnsi="宋体" w:cs="宋体"/>
          <w:color w:val="000000"/>
          <w:kern w:val="0"/>
          <w:sz w:val="24"/>
          <w:szCs w:val="24"/>
        </w:rPr>
        <w:t>1</w:t>
      </w:r>
      <w:r>
        <w:rPr>
          <w:rFonts w:hint="eastAsia" w:ascii="宋体" w:hAnsi="宋体" w:cs="宋体"/>
          <w:color w:val="000000"/>
          <w:kern w:val="0"/>
          <w:sz w:val="24"/>
          <w:szCs w:val="24"/>
        </w:rPr>
        <w:t>月</w:t>
      </w:r>
      <w:r>
        <w:rPr>
          <w:rFonts w:ascii="宋体" w:hAnsi="宋体" w:cs="宋体"/>
          <w:color w:val="000000"/>
          <w:kern w:val="0"/>
          <w:sz w:val="24"/>
          <w:szCs w:val="24"/>
        </w:rPr>
        <w:t>1</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日</w:t>
      </w:r>
    </w:p>
    <w:p>
      <w:pPr>
        <w:tabs>
          <w:tab w:val="left" w:pos="709"/>
        </w:tabs>
        <w:rPr>
          <w:rFonts w:ascii="仿宋" w:hAnsi="仿宋" w:eastAsia="仿宋" w:cs="仿宋"/>
          <w:sz w:val="32"/>
          <w:szCs w:val="32"/>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B6"/>
    <w:rsid w:val="00016328"/>
    <w:rsid w:val="000A37B6"/>
    <w:rsid w:val="000A4B9C"/>
    <w:rsid w:val="00132608"/>
    <w:rsid w:val="0016331A"/>
    <w:rsid w:val="003B24E0"/>
    <w:rsid w:val="003B476F"/>
    <w:rsid w:val="004C10B8"/>
    <w:rsid w:val="00560F2D"/>
    <w:rsid w:val="006408DC"/>
    <w:rsid w:val="00767E39"/>
    <w:rsid w:val="007F7327"/>
    <w:rsid w:val="009F42E6"/>
    <w:rsid w:val="00A379B4"/>
    <w:rsid w:val="00DA485C"/>
    <w:rsid w:val="00DB60F9"/>
    <w:rsid w:val="00E931B8"/>
    <w:rsid w:val="080050E3"/>
    <w:rsid w:val="09DB5DFA"/>
    <w:rsid w:val="0FAD2720"/>
    <w:rsid w:val="106A7D85"/>
    <w:rsid w:val="1D1F0356"/>
    <w:rsid w:val="2943014E"/>
    <w:rsid w:val="2E5A4A6B"/>
    <w:rsid w:val="44273CD5"/>
    <w:rsid w:val="4FF3203D"/>
    <w:rsid w:val="51417A97"/>
    <w:rsid w:val="5B6D18E7"/>
    <w:rsid w:val="62F91D19"/>
    <w:rsid w:val="67D1212C"/>
    <w:rsid w:val="6AAC1650"/>
    <w:rsid w:val="705105A3"/>
    <w:rsid w:val="76AA16B7"/>
    <w:rsid w:val="77A8454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页脚 Char"/>
    <w:basedOn w:val="4"/>
    <w:link w:val="2"/>
    <w:semiHidden/>
    <w:qFormat/>
    <w:locked/>
    <w:uiPriority w:val="99"/>
    <w:rPr>
      <w:sz w:val="18"/>
      <w:szCs w:val="18"/>
    </w:rPr>
  </w:style>
  <w:style w:type="character" w:customStyle="1" w:styleId="8">
    <w:name w:val="页眉 Char"/>
    <w:basedOn w:val="4"/>
    <w:link w:val="3"/>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000</Company>
  <Pages>3</Pages>
  <Words>141</Words>
  <Characters>806</Characters>
  <Lines>6</Lines>
  <Paragraphs>1</Paragraphs>
  <TotalTime>22</TotalTime>
  <ScaleCrop>false</ScaleCrop>
  <LinksUpToDate>false</LinksUpToDate>
  <CharactersWithSpaces>946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2020-01-14T03:37:00Z</cp:lastPrinted>
  <dcterms:modified xsi:type="dcterms:W3CDTF">2020-01-14T07:15:26Z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