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29" w:rsidRDefault="008976E5">
      <w:pPr>
        <w:jc w:val="center"/>
        <w:rPr>
          <w:rFonts w:ascii="新宋体" w:eastAsia="新宋体" w:hAnsi="新宋体"/>
          <w:b/>
          <w:bCs/>
          <w:sz w:val="36"/>
          <w:szCs w:val="36"/>
        </w:rPr>
      </w:pPr>
      <w:r>
        <w:rPr>
          <w:rFonts w:ascii="新宋体" w:eastAsia="新宋体" w:hAnsi="新宋体" w:hint="eastAsia"/>
          <w:b/>
          <w:bCs/>
          <w:sz w:val="36"/>
          <w:szCs w:val="36"/>
        </w:rPr>
        <w:t>新会区农业农村局关于依法安全使用农药的告知书</w:t>
      </w:r>
    </w:p>
    <w:p w:rsidR="005E6429" w:rsidRDefault="005E6429">
      <w:pPr>
        <w:jc w:val="left"/>
        <w:rPr>
          <w:sz w:val="44"/>
          <w:szCs w:val="44"/>
        </w:rPr>
      </w:pPr>
    </w:p>
    <w:p w:rsidR="005E6429" w:rsidRDefault="008976E5">
      <w:pPr>
        <w:jc w:val="left"/>
        <w:rPr>
          <w:b/>
          <w:bCs/>
          <w:color w:val="000000"/>
        </w:rPr>
      </w:pPr>
      <w:r>
        <w:rPr>
          <w:rFonts w:hint="eastAsia"/>
          <w:b/>
          <w:bCs/>
          <w:color w:val="000000"/>
        </w:rPr>
        <w:t>新会区全体农药使用者：</w:t>
      </w:r>
    </w:p>
    <w:p w:rsidR="005E6429" w:rsidRDefault="008976E5">
      <w:pPr>
        <w:ind w:firstLineChars="150" w:firstLine="315"/>
        <w:jc w:val="left"/>
        <w:rPr>
          <w:bCs/>
          <w:color w:val="000000"/>
        </w:rPr>
      </w:pPr>
      <w:r>
        <w:rPr>
          <w:rFonts w:hint="eastAsia"/>
          <w:bCs/>
          <w:color w:val="000000"/>
        </w:rPr>
        <w:t>农药是重要的农业投入品，为进一步宣传普及和提高农药依法安全使用意识，保障农业生产、生态环境、农产品质量等安全，特作如下告知：</w:t>
      </w:r>
    </w:p>
    <w:p w:rsidR="005E6429" w:rsidRDefault="008976E5">
      <w:pPr>
        <w:widowControl/>
        <w:shd w:val="clear" w:color="auto" w:fill="FFFFFF"/>
        <w:spacing w:after="45"/>
        <w:ind w:firstLineChars="200" w:firstLine="482"/>
        <w:jc w:val="left"/>
        <w:outlineLvl w:val="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w:t>
      </w:r>
      <w:r>
        <w:rPr>
          <w:rFonts w:ascii="宋体" w:eastAsia="宋体" w:hAnsi="宋体" w:cs="宋体"/>
          <w:b/>
          <w:bCs/>
          <w:color w:val="000000"/>
          <w:kern w:val="0"/>
          <w:sz w:val="24"/>
          <w:szCs w:val="24"/>
        </w:rPr>
        <w:t>《农药管理条例》</w:t>
      </w:r>
      <w:r w:rsidR="00583E0B" w:rsidRPr="00E775B6">
        <w:rPr>
          <w:rFonts w:ascii="宋体" w:eastAsia="宋体" w:hAnsi="宋体" w:cs="宋体" w:hint="eastAsia"/>
          <w:b/>
          <w:bCs/>
          <w:color w:val="000000"/>
          <w:kern w:val="0"/>
          <w:sz w:val="24"/>
          <w:szCs w:val="24"/>
        </w:rPr>
        <w:t>有关规定</w:t>
      </w:r>
    </w:p>
    <w:p w:rsidR="005E6429" w:rsidRDefault="008976E5">
      <w:pPr>
        <w:ind w:firstLineChars="200" w:firstLine="422"/>
        <w:jc w:val="left"/>
        <w:rPr>
          <w:color w:val="000000"/>
          <w:shd w:val="clear" w:color="auto" w:fill="FFFFFF"/>
        </w:rPr>
      </w:pPr>
      <w:r>
        <w:rPr>
          <w:rFonts w:hint="eastAsia"/>
          <w:b/>
          <w:bCs/>
          <w:color w:val="000000"/>
          <w:shd w:val="clear" w:color="auto" w:fill="FFFFFF"/>
        </w:rPr>
        <w:t>第二条</w:t>
      </w:r>
      <w:r>
        <w:rPr>
          <w:rFonts w:hint="eastAsia"/>
          <w:color w:val="000000"/>
          <w:shd w:val="clear" w:color="auto" w:fill="FFFFFF"/>
        </w:rPr>
        <w:t xml:space="preserve">　本条例所称农药，是指用于预防、控制危害农业、林业的病、虫、草、鼠和其他有害生物以及有目的地调节植物、昆虫生长的化学合成或者来源于生物、其他天然物质的一种物质或者几种物质的混合物及其制剂。</w:t>
      </w:r>
    </w:p>
    <w:p w:rsidR="005E6429" w:rsidRDefault="008976E5">
      <w:pPr>
        <w:ind w:firstLineChars="200" w:firstLine="422"/>
        <w:jc w:val="left"/>
        <w:rPr>
          <w:color w:val="000000"/>
          <w:shd w:val="clear" w:color="auto" w:fill="FFFFFF"/>
        </w:rPr>
      </w:pPr>
      <w:r>
        <w:rPr>
          <w:rFonts w:hint="eastAsia"/>
          <w:b/>
          <w:bCs/>
          <w:color w:val="000000"/>
        </w:rPr>
        <w:t>第三十三条</w:t>
      </w:r>
      <w:r>
        <w:rPr>
          <w:rFonts w:hint="eastAsia"/>
          <w:color w:val="000000"/>
        </w:rPr>
        <w:t xml:space="preserve">　农药使用者应当遵守国家有关农药安全、合理使用制度，妥善保管农药，并在配药、用药过程中采取必要的防护措施，避免发生农药使用事故。</w:t>
      </w:r>
    </w:p>
    <w:p w:rsidR="005E6429" w:rsidRDefault="008976E5">
      <w:pPr>
        <w:ind w:firstLineChars="200" w:firstLine="422"/>
        <w:jc w:val="left"/>
        <w:rPr>
          <w:color w:val="000000"/>
        </w:rPr>
      </w:pPr>
      <w:r>
        <w:rPr>
          <w:rFonts w:hint="eastAsia"/>
          <w:b/>
          <w:bCs/>
          <w:color w:val="000000"/>
        </w:rPr>
        <w:t>第三十四条</w:t>
      </w:r>
      <w:r>
        <w:rPr>
          <w:rFonts w:hint="eastAsia"/>
          <w:color w:val="000000"/>
        </w:rPr>
        <w:t xml:space="preserve">　农药使用者应当严格按照农药的标签标注的使用范围、使用方法和剂量、使用技术要求和注意事项使用农药，不得扩大使用范围、加大用药剂量或者改变使用方法。</w:t>
      </w:r>
    </w:p>
    <w:p w:rsidR="005E6429" w:rsidRDefault="008976E5">
      <w:pPr>
        <w:ind w:firstLineChars="200" w:firstLine="420"/>
        <w:jc w:val="left"/>
        <w:rPr>
          <w:color w:val="000000"/>
        </w:rPr>
      </w:pPr>
      <w:r>
        <w:rPr>
          <w:rFonts w:hint="eastAsia"/>
          <w:color w:val="000000"/>
        </w:rPr>
        <w:t>农药使用者不得使用禁用的农药。</w:t>
      </w:r>
    </w:p>
    <w:p w:rsidR="005E6429" w:rsidRDefault="008976E5">
      <w:pPr>
        <w:ind w:firstLineChars="200" w:firstLine="420"/>
        <w:jc w:val="left"/>
        <w:rPr>
          <w:color w:val="000000"/>
        </w:rPr>
      </w:pPr>
      <w:r>
        <w:rPr>
          <w:rFonts w:hint="eastAsia"/>
          <w:color w:val="000000"/>
        </w:rPr>
        <w:t>标签标注安全间隔期的农药，在农产品收获前应当按照安全间隔期的要求停止使用。</w:t>
      </w:r>
    </w:p>
    <w:p w:rsidR="005E6429" w:rsidRDefault="008976E5">
      <w:pPr>
        <w:ind w:firstLineChars="200" w:firstLine="420"/>
        <w:jc w:val="left"/>
        <w:rPr>
          <w:color w:val="000000"/>
        </w:rPr>
      </w:pPr>
      <w:r>
        <w:rPr>
          <w:rFonts w:hint="eastAsia"/>
          <w:color w:val="000000"/>
          <w:shd w:val="clear" w:color="auto" w:fill="FFFFFF"/>
        </w:rPr>
        <w:t>剧毒、高毒农药不得用于防治卫生害虫，不得用于蔬菜、瓜果、茶叶、菌类、中草药材的生产，不得用于水生植物的病虫害防治。</w:t>
      </w:r>
    </w:p>
    <w:p w:rsidR="005E6429" w:rsidRDefault="008976E5">
      <w:pPr>
        <w:ind w:firstLineChars="200" w:firstLine="422"/>
        <w:jc w:val="left"/>
        <w:rPr>
          <w:color w:val="000000"/>
        </w:rPr>
      </w:pPr>
      <w:r>
        <w:rPr>
          <w:rFonts w:hint="eastAsia"/>
          <w:b/>
          <w:bCs/>
          <w:color w:val="000000"/>
        </w:rPr>
        <w:t>第三十五条</w:t>
      </w:r>
      <w:r>
        <w:rPr>
          <w:rFonts w:hint="eastAsia"/>
          <w:color w:val="000000"/>
        </w:rPr>
        <w:t xml:space="preserve">　农药使用者应当保护环境，保护有益生物和珍稀物种，不得在饮用水水源保护区、河道内丢弃农药、农药包装物或者清洗施药器械。</w:t>
      </w:r>
    </w:p>
    <w:p w:rsidR="005E6429" w:rsidRDefault="008976E5">
      <w:pPr>
        <w:ind w:firstLineChars="200" w:firstLine="420"/>
        <w:jc w:val="left"/>
        <w:rPr>
          <w:color w:val="000000"/>
        </w:rPr>
      </w:pPr>
      <w:r>
        <w:rPr>
          <w:rFonts w:hint="eastAsia"/>
          <w:color w:val="000000"/>
        </w:rPr>
        <w:t>严禁在饮用水水源保护区内使用农药，严禁使用农药毒鱼、虾、鸟、兽等。</w:t>
      </w:r>
    </w:p>
    <w:p w:rsidR="005E6429" w:rsidRDefault="008976E5">
      <w:pPr>
        <w:ind w:firstLineChars="200" w:firstLine="422"/>
        <w:jc w:val="left"/>
        <w:rPr>
          <w:color w:val="000000"/>
        </w:rPr>
      </w:pPr>
      <w:r>
        <w:rPr>
          <w:rFonts w:hint="eastAsia"/>
          <w:b/>
          <w:bCs/>
          <w:color w:val="000000"/>
        </w:rPr>
        <w:t>第三十六条</w:t>
      </w:r>
      <w:r>
        <w:rPr>
          <w:rFonts w:hint="eastAsia"/>
          <w:color w:val="000000"/>
        </w:rPr>
        <w:t xml:space="preserve">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w:t>
      </w:r>
      <w:r>
        <w:rPr>
          <w:rFonts w:hint="eastAsia"/>
          <w:color w:val="000000"/>
        </w:rPr>
        <w:t>2</w:t>
      </w:r>
      <w:r>
        <w:rPr>
          <w:rFonts w:hint="eastAsia"/>
          <w:color w:val="000000"/>
        </w:rPr>
        <w:t>年以上。</w:t>
      </w:r>
    </w:p>
    <w:p w:rsidR="005E6429" w:rsidRDefault="008976E5">
      <w:pPr>
        <w:ind w:firstLineChars="200" w:firstLine="420"/>
        <w:jc w:val="left"/>
        <w:rPr>
          <w:color w:val="000000"/>
        </w:rPr>
      </w:pPr>
      <w:r>
        <w:rPr>
          <w:rFonts w:hint="eastAsia"/>
          <w:color w:val="000000"/>
        </w:rPr>
        <w:t>国家鼓励其他农药使用者建立农药使用记录。</w:t>
      </w:r>
    </w:p>
    <w:p w:rsidR="005E6429" w:rsidRDefault="008976E5">
      <w:pPr>
        <w:ind w:firstLineChars="200" w:firstLine="422"/>
        <w:jc w:val="left"/>
        <w:rPr>
          <w:color w:val="000000"/>
        </w:rPr>
      </w:pPr>
      <w:r>
        <w:rPr>
          <w:rFonts w:hint="eastAsia"/>
          <w:b/>
          <w:bCs/>
          <w:color w:val="000000"/>
        </w:rPr>
        <w:t>第三十七条</w:t>
      </w:r>
      <w:r>
        <w:rPr>
          <w:rFonts w:hint="eastAsia"/>
          <w:color w:val="000000"/>
        </w:rPr>
        <w:t xml:space="preserve">　国家鼓励农药使用者妥善收集农药包装物等废弃物；农药生产企业、农药经营者应当回收农药废弃物，防止农药污染环境和农药中毒事故的发生。</w:t>
      </w:r>
    </w:p>
    <w:p w:rsidR="005E6429" w:rsidRDefault="008976E5">
      <w:pPr>
        <w:ind w:firstLineChars="200" w:firstLine="422"/>
        <w:jc w:val="left"/>
        <w:rPr>
          <w:color w:val="000000"/>
        </w:rPr>
      </w:pPr>
      <w:r>
        <w:rPr>
          <w:rFonts w:hint="eastAsia"/>
          <w:b/>
          <w:bCs/>
          <w:color w:val="000000"/>
        </w:rPr>
        <w:t>第三十八条</w:t>
      </w:r>
      <w:r>
        <w:rPr>
          <w:rFonts w:hint="eastAsia"/>
          <w:color w:val="000000"/>
        </w:rPr>
        <w:t xml:space="preserve">　发生农药使用事故，农药使用者、农药生产企业、农药经营者和其他有关人员应当及时报告当地农业主管部门。</w:t>
      </w:r>
    </w:p>
    <w:p w:rsidR="005E6429" w:rsidRDefault="008976E5">
      <w:pPr>
        <w:ind w:firstLineChars="200" w:firstLine="422"/>
        <w:jc w:val="left"/>
        <w:rPr>
          <w:color w:val="000000"/>
        </w:rPr>
      </w:pPr>
      <w:r>
        <w:rPr>
          <w:rFonts w:hint="eastAsia"/>
          <w:b/>
          <w:bCs/>
          <w:color w:val="000000"/>
        </w:rPr>
        <w:t xml:space="preserve">第六十条　</w:t>
      </w:r>
      <w:r>
        <w:rPr>
          <w:rFonts w:hint="eastAsia"/>
          <w:color w:val="000000"/>
        </w:rPr>
        <w:t>农药使用者有下列行为之一的，由县级人民政府农业主管部门责令改正，农药使用者为农产品生产企业、食品和食用农产品仓储企业、专业化病虫害防治服务组织和从事农产品生产的农民专业合作社等单位的，处</w:t>
      </w:r>
      <w:r>
        <w:rPr>
          <w:rFonts w:hint="eastAsia"/>
          <w:color w:val="000000"/>
        </w:rPr>
        <w:t>5</w:t>
      </w:r>
      <w:r>
        <w:rPr>
          <w:rFonts w:hint="eastAsia"/>
          <w:color w:val="000000"/>
        </w:rPr>
        <w:t>万元以上</w:t>
      </w:r>
      <w:r>
        <w:rPr>
          <w:rFonts w:hint="eastAsia"/>
          <w:color w:val="000000"/>
        </w:rPr>
        <w:t>10</w:t>
      </w:r>
      <w:r>
        <w:rPr>
          <w:rFonts w:hint="eastAsia"/>
          <w:color w:val="000000"/>
        </w:rPr>
        <w:t>万元以下罚款，农药使用者为个人的，处</w:t>
      </w:r>
      <w:r>
        <w:rPr>
          <w:rFonts w:hint="eastAsia"/>
          <w:color w:val="000000"/>
        </w:rPr>
        <w:t>1</w:t>
      </w:r>
      <w:r>
        <w:rPr>
          <w:rFonts w:hint="eastAsia"/>
          <w:color w:val="000000"/>
        </w:rPr>
        <w:t>万元以下罚款；构成犯罪的，依法追究刑事责任：</w:t>
      </w:r>
    </w:p>
    <w:p w:rsidR="005E6429" w:rsidRDefault="008976E5">
      <w:pPr>
        <w:ind w:firstLineChars="200" w:firstLine="420"/>
        <w:jc w:val="left"/>
        <w:rPr>
          <w:color w:val="000000"/>
        </w:rPr>
      </w:pPr>
      <w:r>
        <w:rPr>
          <w:rFonts w:hint="eastAsia"/>
          <w:color w:val="000000"/>
        </w:rPr>
        <w:t>（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w:t>
      </w:r>
    </w:p>
    <w:p w:rsidR="005E6429" w:rsidRDefault="005E6429">
      <w:pPr>
        <w:widowControl/>
        <w:shd w:val="clear" w:color="auto" w:fill="FFFFFF"/>
        <w:spacing w:after="45"/>
        <w:ind w:firstLineChars="200" w:firstLine="482"/>
        <w:jc w:val="left"/>
        <w:outlineLvl w:val="2"/>
        <w:rPr>
          <w:rFonts w:ascii="宋体" w:eastAsia="宋体" w:hAnsi="宋体" w:cs="宋体"/>
          <w:b/>
          <w:bCs/>
          <w:color w:val="000000"/>
          <w:kern w:val="0"/>
          <w:sz w:val="24"/>
          <w:szCs w:val="24"/>
        </w:rPr>
      </w:pPr>
    </w:p>
    <w:p w:rsidR="005E6429" w:rsidRDefault="008976E5">
      <w:pPr>
        <w:widowControl/>
        <w:shd w:val="clear" w:color="auto" w:fill="FFFFFF"/>
        <w:spacing w:after="45"/>
        <w:ind w:firstLineChars="250" w:firstLine="602"/>
        <w:jc w:val="left"/>
        <w:outlineLvl w:val="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二、国家禁限制农药名录</w:t>
      </w:r>
    </w:p>
    <w:p w:rsidR="005E6429" w:rsidRDefault="008976E5">
      <w:pPr>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（一）禁止（停止）使用的农药(46 种) </w:t>
      </w:r>
    </w:p>
    <w:p w:rsidR="005E6429" w:rsidRDefault="008976E5">
      <w:pPr>
        <w:ind w:firstLineChars="200" w:firstLine="420"/>
        <w:rPr>
          <w:color w:val="000000"/>
        </w:rPr>
      </w:pPr>
      <w:r>
        <w:rPr>
          <w:rFonts w:hint="eastAsia"/>
          <w:color w:val="000000"/>
        </w:rPr>
        <w:t>六六六、滴滴涕、毒杀芬、二溴氯丙烷、杀虫脒、二溴乙烷、除草醚、艾氏剂、狄氏剂、汞制剂、砷类、铅类、敌枯双、氟乙酰胺、甘氟、毒鼠强、氟乙酸钠、毒鼠硅，甲胺磷、对</w:t>
      </w:r>
      <w:r>
        <w:rPr>
          <w:rFonts w:hint="eastAsia"/>
          <w:color w:val="000000"/>
        </w:rPr>
        <w:lastRenderedPageBreak/>
        <w:t>硫磷、甲基对硫磷、久效磷、磷胺、苯线磷、地虫硫磷、甲基硫环磷、磷化钙、磷化镁、磷化锌、硫线磷、蝇毒磷、治螟磷、特丁硫磷、氯磺隆、胺苯磺隆、甲磺隆、福美胂、福美甲胂、三氯杀螨醇、林丹、硫丹、溴甲烷、氯虫胺、杀朴磷、百草枯、</w:t>
      </w:r>
      <w:r>
        <w:rPr>
          <w:rFonts w:hint="eastAsia"/>
          <w:color w:val="000000"/>
        </w:rPr>
        <w:t>2</w:t>
      </w:r>
      <w:r>
        <w:rPr>
          <w:rFonts w:hint="eastAsia"/>
          <w:color w:val="000000"/>
        </w:rPr>
        <w:t>，</w:t>
      </w:r>
      <w:r>
        <w:rPr>
          <w:rFonts w:hint="eastAsia"/>
          <w:color w:val="000000"/>
        </w:rPr>
        <w:t>4-</w:t>
      </w:r>
      <w:r>
        <w:rPr>
          <w:rFonts w:hint="eastAsia"/>
          <w:color w:val="000000"/>
        </w:rPr>
        <w:t>滴丁酯。</w:t>
      </w:r>
      <w:r>
        <w:rPr>
          <w:rFonts w:hint="eastAsia"/>
          <w:color w:val="000000"/>
        </w:rPr>
        <w:t xml:space="preserve"> </w:t>
      </w:r>
    </w:p>
    <w:p w:rsidR="005E6429" w:rsidRDefault="005E6429">
      <w:pPr>
        <w:rPr>
          <w:rFonts w:ascii="宋体" w:eastAsia="宋体" w:hAnsi="宋体" w:cs="宋体"/>
          <w:b/>
          <w:bCs/>
          <w:color w:val="000000"/>
          <w:kern w:val="0"/>
          <w:sz w:val="24"/>
          <w:szCs w:val="24"/>
        </w:rPr>
      </w:pPr>
    </w:p>
    <w:p w:rsidR="005E6429" w:rsidRDefault="005E6429">
      <w:pPr>
        <w:ind w:firstLineChars="200" w:firstLine="482"/>
        <w:rPr>
          <w:rFonts w:ascii="宋体" w:eastAsia="宋体" w:hAnsi="宋体" w:cs="宋体"/>
          <w:b/>
          <w:bCs/>
          <w:color w:val="000000"/>
          <w:kern w:val="0"/>
          <w:sz w:val="24"/>
          <w:szCs w:val="24"/>
        </w:rPr>
      </w:pPr>
    </w:p>
    <w:p w:rsidR="005E6429" w:rsidRDefault="008976E5">
      <w:pPr>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（二）在部分范围内限制使用的农药（20种） </w:t>
      </w:r>
    </w:p>
    <w:tbl>
      <w:tblPr>
        <w:tblW w:w="920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5378"/>
      </w:tblGrid>
      <w:tr w:rsidR="005E6429">
        <w:trPr>
          <w:trHeight w:val="334"/>
        </w:trPr>
        <w:tc>
          <w:tcPr>
            <w:tcW w:w="3828" w:type="dxa"/>
            <w:tcBorders>
              <w:top w:val="inset" w:sz="6" w:space="0" w:color="auto"/>
              <w:left w:val="inset" w:sz="6" w:space="0" w:color="auto"/>
              <w:bottom w:val="inset" w:sz="6" w:space="0" w:color="auto"/>
              <w:right w:val="inset" w:sz="6" w:space="0" w:color="auto"/>
            </w:tcBorders>
          </w:tcPr>
          <w:p w:rsidR="005E6429" w:rsidRDefault="008976E5">
            <w:pPr>
              <w:widowControl/>
              <w:spacing w:line="480" w:lineRule="auto"/>
              <w:jc w:val="center"/>
              <w:rPr>
                <w:color w:val="000000"/>
              </w:rPr>
            </w:pPr>
            <w:r>
              <w:rPr>
                <w:color w:val="000000"/>
              </w:rPr>
              <w:t>通用名</w:t>
            </w:r>
          </w:p>
        </w:tc>
        <w:tc>
          <w:tcPr>
            <w:tcW w:w="5378" w:type="dxa"/>
            <w:tcBorders>
              <w:top w:val="inset" w:sz="6" w:space="0" w:color="auto"/>
              <w:left w:val="nil"/>
              <w:bottom w:val="inset" w:sz="6" w:space="0" w:color="auto"/>
              <w:right w:val="inset" w:sz="6" w:space="0" w:color="auto"/>
            </w:tcBorders>
          </w:tcPr>
          <w:p w:rsidR="005E6429" w:rsidRDefault="008976E5">
            <w:pPr>
              <w:widowControl/>
              <w:spacing w:line="480" w:lineRule="auto"/>
              <w:jc w:val="center"/>
              <w:rPr>
                <w:color w:val="000000"/>
              </w:rPr>
            </w:pPr>
            <w:r>
              <w:rPr>
                <w:color w:val="000000"/>
              </w:rPr>
              <w:t>禁止使用范围</w:t>
            </w:r>
          </w:p>
        </w:tc>
      </w:tr>
      <w:tr w:rsidR="005E6429">
        <w:trPr>
          <w:trHeight w:val="637"/>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spacing w:line="460" w:lineRule="exact"/>
              <w:rPr>
                <w:color w:val="000000"/>
              </w:rPr>
            </w:pPr>
            <w:r>
              <w:rPr>
                <w:color w:val="000000"/>
              </w:rPr>
              <w:t>甲拌磷、甲基异柳磷、克百威、水胺硫磷、</w:t>
            </w:r>
          </w:p>
          <w:p w:rsidR="005E6429" w:rsidRDefault="008976E5">
            <w:pPr>
              <w:spacing w:line="460" w:lineRule="exact"/>
              <w:rPr>
                <w:rFonts w:ascii="宋体" w:eastAsia="宋体" w:hAnsi="宋体"/>
                <w:szCs w:val="21"/>
              </w:rPr>
            </w:pPr>
            <w:r>
              <w:rPr>
                <w:color w:val="000000"/>
              </w:rPr>
              <w:t>氧乐果、灭多威、涕灭威、灭线磷</w:t>
            </w:r>
          </w:p>
        </w:tc>
        <w:tc>
          <w:tcPr>
            <w:tcW w:w="5378" w:type="dxa"/>
            <w:tcBorders>
              <w:top w:val="inset" w:sz="6" w:space="0" w:color="auto"/>
              <w:left w:val="nil"/>
              <w:bottom w:val="inset" w:sz="6" w:space="0" w:color="auto"/>
              <w:right w:val="inset" w:sz="6" w:space="0" w:color="auto"/>
            </w:tcBorders>
            <w:vAlign w:val="center"/>
          </w:tcPr>
          <w:p w:rsidR="005E6429" w:rsidRDefault="008976E5">
            <w:pPr>
              <w:spacing w:line="420" w:lineRule="exact"/>
              <w:jc w:val="left"/>
              <w:rPr>
                <w:color w:val="000000"/>
              </w:rPr>
            </w:pPr>
            <w:r>
              <w:rPr>
                <w:color w:val="000000"/>
              </w:rPr>
              <w:t>禁止在蔬菜、瓜果、茶叶、菌类、中草药材上使用，</w:t>
            </w:r>
          </w:p>
          <w:p w:rsidR="005E6429" w:rsidRDefault="008976E5">
            <w:pPr>
              <w:spacing w:line="420" w:lineRule="exact"/>
              <w:jc w:val="left"/>
              <w:rPr>
                <w:rFonts w:ascii="仿宋" w:eastAsia="仿宋" w:hAnsi="仿宋"/>
                <w:sz w:val="32"/>
                <w:szCs w:val="32"/>
              </w:rPr>
            </w:pPr>
            <w:r>
              <w:rPr>
                <w:color w:val="000000"/>
              </w:rPr>
              <w:t>禁止用于防治卫生害虫，禁止用于水生植物的病虫害防治</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甲拌磷、甲基异柳磷、克百威</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禁止在甘蔗作物上使用</w:t>
            </w:r>
            <w:r>
              <w:rPr>
                <w:color w:val="000000"/>
              </w:rPr>
              <w:t xml:space="preserve"> </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内吸磷、硫环磷、氯唑磷</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禁止在蔬菜、瓜果、茶叶、中草药材上使用</w:t>
            </w:r>
            <w:r>
              <w:rPr>
                <w:color w:val="000000"/>
              </w:rPr>
              <w:t xml:space="preserve"> </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乙酰甲胺磷、丁硫克百威、乐果</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禁止在蔬菜、瓜果、茶叶、菌类和中草药材上使用</w:t>
            </w:r>
            <w:r>
              <w:rPr>
                <w:color w:val="000000"/>
              </w:rPr>
              <w:t xml:space="preserve"> </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毒死蜱、三唑磷</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禁止在蔬菜上使用</w:t>
            </w:r>
            <w:r>
              <w:rPr>
                <w:color w:val="000000"/>
              </w:rPr>
              <w:t xml:space="preserve"> </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丁酰肼（比久）</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禁止在花生上使用</w:t>
            </w:r>
            <w:r>
              <w:rPr>
                <w:color w:val="000000"/>
              </w:rPr>
              <w:t xml:space="preserve"> </w:t>
            </w:r>
          </w:p>
        </w:tc>
      </w:tr>
      <w:tr w:rsidR="005E6429">
        <w:trPr>
          <w:trHeight w:val="334"/>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氰戊菊酯</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禁止在茶叶上使用</w:t>
            </w:r>
            <w:r>
              <w:rPr>
                <w:color w:val="000000"/>
              </w:rPr>
              <w:t xml:space="preserve"> </w:t>
            </w:r>
          </w:p>
        </w:tc>
      </w:tr>
      <w:tr w:rsidR="005E6429">
        <w:trPr>
          <w:trHeight w:val="326"/>
        </w:trPr>
        <w:tc>
          <w:tcPr>
            <w:tcW w:w="3828" w:type="dxa"/>
            <w:tcBorders>
              <w:top w:val="inset" w:sz="6" w:space="0" w:color="auto"/>
              <w:left w:val="inset" w:sz="6" w:space="0" w:color="auto"/>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氟虫腈</w:t>
            </w:r>
            <w:r>
              <w:rPr>
                <w:color w:val="000000"/>
              </w:rPr>
              <w:t xml:space="preserve"> </w:t>
            </w:r>
          </w:p>
        </w:tc>
        <w:tc>
          <w:tcPr>
            <w:tcW w:w="5378" w:type="dxa"/>
            <w:tcBorders>
              <w:top w:val="inset" w:sz="6" w:space="0" w:color="auto"/>
              <w:left w:val="nil"/>
              <w:bottom w:val="inset" w:sz="6" w:space="0" w:color="auto"/>
              <w:right w:val="inset" w:sz="6" w:space="0" w:color="auto"/>
            </w:tcBorders>
            <w:vAlign w:val="center"/>
          </w:tcPr>
          <w:p w:rsidR="005E6429" w:rsidRDefault="008976E5">
            <w:pPr>
              <w:widowControl/>
              <w:spacing w:line="480" w:lineRule="auto"/>
              <w:jc w:val="left"/>
              <w:rPr>
                <w:color w:val="000000"/>
              </w:rPr>
            </w:pPr>
            <w:r>
              <w:rPr>
                <w:color w:val="000000"/>
              </w:rPr>
              <w:t>禁止在所有农作物上使用（玉米等部分旱田种子包衣除外）</w:t>
            </w:r>
            <w:r>
              <w:rPr>
                <w:color w:val="000000"/>
              </w:rPr>
              <w:t xml:space="preserve"> </w:t>
            </w:r>
          </w:p>
        </w:tc>
      </w:tr>
      <w:tr w:rsidR="005E6429">
        <w:trPr>
          <w:trHeight w:val="334"/>
        </w:trPr>
        <w:tc>
          <w:tcPr>
            <w:tcW w:w="3828" w:type="dxa"/>
            <w:tcBorders>
              <w:top w:val="single" w:sz="4" w:space="0" w:color="auto"/>
              <w:left w:val="single" w:sz="4" w:space="0" w:color="auto"/>
              <w:bottom w:val="single" w:sz="4" w:space="0" w:color="auto"/>
              <w:right w:val="inset" w:sz="6" w:space="0" w:color="auto"/>
            </w:tcBorders>
            <w:vAlign w:val="center"/>
          </w:tcPr>
          <w:p w:rsidR="005E6429" w:rsidRDefault="008976E5">
            <w:pPr>
              <w:widowControl/>
              <w:spacing w:line="480" w:lineRule="auto"/>
              <w:jc w:val="left"/>
              <w:rPr>
                <w:color w:val="000000"/>
              </w:rPr>
            </w:pPr>
            <w:r>
              <w:rPr>
                <w:color w:val="000000"/>
              </w:rPr>
              <w:t>氟苯虫酰胺</w:t>
            </w:r>
            <w:r>
              <w:rPr>
                <w:color w:val="000000"/>
              </w:rPr>
              <w:t xml:space="preserve"> </w:t>
            </w:r>
          </w:p>
        </w:tc>
        <w:tc>
          <w:tcPr>
            <w:tcW w:w="5378" w:type="dxa"/>
            <w:tcBorders>
              <w:top w:val="single" w:sz="4" w:space="0" w:color="auto"/>
              <w:left w:val="nil"/>
              <w:bottom w:val="single" w:sz="4" w:space="0" w:color="auto"/>
              <w:right w:val="single" w:sz="4" w:space="0" w:color="auto"/>
            </w:tcBorders>
            <w:vAlign w:val="center"/>
          </w:tcPr>
          <w:p w:rsidR="005E6429" w:rsidRDefault="008976E5">
            <w:pPr>
              <w:widowControl/>
              <w:spacing w:line="480" w:lineRule="auto"/>
              <w:jc w:val="left"/>
              <w:rPr>
                <w:color w:val="000000"/>
              </w:rPr>
            </w:pPr>
            <w:r>
              <w:rPr>
                <w:color w:val="000000"/>
              </w:rPr>
              <w:t xml:space="preserve"> </w:t>
            </w:r>
            <w:r>
              <w:rPr>
                <w:color w:val="000000"/>
              </w:rPr>
              <w:t>禁止在水稻上使用</w:t>
            </w:r>
            <w:r>
              <w:rPr>
                <w:color w:val="000000"/>
              </w:rPr>
              <w:t xml:space="preserve"> </w:t>
            </w:r>
          </w:p>
        </w:tc>
      </w:tr>
    </w:tbl>
    <w:p w:rsidR="005E6429" w:rsidRDefault="008976E5">
      <w:pPr>
        <w:ind w:firstLineChars="150" w:firstLine="316"/>
        <w:rPr>
          <w:b/>
          <w:color w:val="000000"/>
        </w:rPr>
      </w:pPr>
      <w:r>
        <w:rPr>
          <w:rFonts w:hint="eastAsia"/>
          <w:b/>
          <w:color w:val="000000"/>
        </w:rPr>
        <w:t>注：限制使用农药实名购买。</w:t>
      </w:r>
    </w:p>
    <w:p w:rsidR="005E6429" w:rsidRDefault="005E6429">
      <w:pPr>
        <w:ind w:firstLineChars="150" w:firstLine="316"/>
        <w:rPr>
          <w:b/>
          <w:color w:val="000000"/>
        </w:rPr>
      </w:pPr>
    </w:p>
    <w:p w:rsidR="005E6429" w:rsidRDefault="008976E5">
      <w:pPr>
        <w:widowControl/>
        <w:shd w:val="clear" w:color="auto" w:fill="FFFFFF"/>
        <w:spacing w:after="45"/>
        <w:ind w:firstLineChars="100" w:firstLine="241"/>
        <w:jc w:val="left"/>
        <w:outlineLvl w:val="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三、《中华人民共和国农产品质量安全法》</w:t>
      </w:r>
      <w:r w:rsidR="00583E0B" w:rsidRPr="00E775B6">
        <w:rPr>
          <w:rFonts w:ascii="宋体" w:eastAsia="宋体" w:hAnsi="宋体" w:cs="宋体" w:hint="eastAsia"/>
          <w:b/>
          <w:bCs/>
          <w:color w:val="000000"/>
          <w:kern w:val="0"/>
          <w:sz w:val="24"/>
          <w:szCs w:val="24"/>
        </w:rPr>
        <w:t>有关规定</w:t>
      </w:r>
    </w:p>
    <w:p w:rsidR="005E6429" w:rsidRDefault="008976E5">
      <w:pPr>
        <w:widowControl/>
        <w:shd w:val="clear" w:color="auto" w:fill="FFFFFF"/>
        <w:spacing w:after="45"/>
        <w:ind w:firstLineChars="100" w:firstLine="211"/>
        <w:jc w:val="left"/>
        <w:outlineLvl w:val="2"/>
      </w:pPr>
      <w:r>
        <w:rPr>
          <w:rStyle w:val="a4"/>
          <w:rFonts w:hint="eastAsia"/>
        </w:rPr>
        <w:t>第三十三条</w:t>
      </w:r>
      <w:r>
        <w:rPr>
          <w:rFonts w:hint="eastAsia"/>
        </w:rPr>
        <w:t xml:space="preserve">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p w:rsidR="005E6429" w:rsidRDefault="008976E5">
      <w:pPr>
        <w:widowControl/>
        <w:shd w:val="clear" w:color="auto" w:fill="FFFFFF"/>
        <w:spacing w:after="45"/>
        <w:ind w:firstLineChars="100" w:firstLine="211"/>
        <w:jc w:val="left"/>
        <w:outlineLvl w:val="2"/>
      </w:pPr>
      <w:r>
        <w:rPr>
          <w:rStyle w:val="a4"/>
          <w:rFonts w:hint="eastAsia"/>
        </w:rPr>
        <w:t>第四十九条</w:t>
      </w:r>
      <w:r>
        <w:rPr>
          <w:rFonts w:hint="eastAsia"/>
        </w:rPr>
        <w:t xml:space="preserve">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r>
        <w:rPr>
          <w:rFonts w:hint="eastAsia"/>
        </w:rPr>
        <w:br/>
      </w:r>
      <w:r>
        <w:rPr>
          <w:rFonts w:hint="eastAsia"/>
        </w:rPr>
        <w:t xml:space="preserve">　　</w:t>
      </w:r>
      <w:r>
        <w:rPr>
          <w:rStyle w:val="a4"/>
          <w:rFonts w:hint="eastAsia"/>
        </w:rPr>
        <w:t>第五十条</w:t>
      </w:r>
      <w:r>
        <w:rPr>
          <w:rFonts w:hint="eastAsia"/>
        </w:rPr>
        <w:t xml:space="preserve">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rPr>
        <w:br/>
      </w:r>
      <w:r>
        <w:rPr>
          <w:rFonts w:hint="eastAsia"/>
        </w:rPr>
        <w:t xml:space="preserve">　　</w:t>
      </w:r>
    </w:p>
    <w:p w:rsidR="005E6429" w:rsidRDefault="008976E5">
      <w:pPr>
        <w:widowControl/>
        <w:shd w:val="clear" w:color="auto" w:fill="FFFFFF"/>
        <w:spacing w:after="45"/>
        <w:ind w:firstLineChars="100" w:firstLine="211"/>
        <w:jc w:val="left"/>
        <w:outlineLvl w:val="2"/>
      </w:pPr>
      <w:r>
        <w:rPr>
          <w:rFonts w:hint="eastAsia"/>
          <w:b/>
        </w:rPr>
        <w:lastRenderedPageBreak/>
        <w:t>四、《最高人民法院最高人民检察院关于办理危害食品安全刑事案件中适用法律若干问题的解读》规定：</w:t>
      </w:r>
      <w:r>
        <w:rPr>
          <w:rFonts w:hint="eastAsia"/>
        </w:rPr>
        <w:t>在食用农产品种植、养殖、销售、运输、贮存等过程中，违反食品安全标准，超限量或者超范围滥用添加剂、农药、兽药等，足以造成严重食物中毒事故或者其他严重食源性疾病的，依照刑法第一百四十三条的规定以生产、销售不符合安全标准的食品罪定罪处罚。在食用农产品种植、养殖、销售、运输、贮存等过程中，使用禁用农药、兽药等禁用物质或者其他有毒、有害物质的，依照刑法第一百四十四条的规定以生产、销售有毒、有害食品罪定罪处罚。</w:t>
      </w:r>
    </w:p>
    <w:p w:rsidR="005E6429" w:rsidRDefault="005E6429">
      <w:pPr>
        <w:widowControl/>
        <w:shd w:val="clear" w:color="auto" w:fill="FFFFFF"/>
        <w:spacing w:after="45"/>
        <w:ind w:firstLineChars="100" w:firstLine="210"/>
        <w:jc w:val="left"/>
        <w:outlineLvl w:val="2"/>
      </w:pPr>
    </w:p>
    <w:p w:rsidR="005E6429" w:rsidRDefault="008976E5">
      <w:pPr>
        <w:widowControl/>
        <w:shd w:val="clear" w:color="auto" w:fill="FFFFFF"/>
        <w:spacing w:after="45"/>
        <w:ind w:firstLineChars="200" w:firstLine="420"/>
        <w:jc w:val="left"/>
        <w:outlineLvl w:val="2"/>
        <w:rPr>
          <w:b/>
        </w:rPr>
      </w:pPr>
      <w:r>
        <w:rPr>
          <w:rFonts w:hint="eastAsia"/>
          <w:bCs/>
          <w:color w:val="000000"/>
        </w:rPr>
        <w:t>广大农药使用者</w:t>
      </w:r>
      <w:r w:rsidRPr="00E775B6">
        <w:rPr>
          <w:rFonts w:hint="eastAsia"/>
          <w:bCs/>
          <w:color w:val="000000"/>
        </w:rPr>
        <w:t>安全</w:t>
      </w:r>
      <w:r w:rsidR="00583E0B" w:rsidRPr="00E775B6">
        <w:rPr>
          <w:rFonts w:hint="eastAsia"/>
          <w:bCs/>
          <w:color w:val="000000"/>
        </w:rPr>
        <w:t>合理</w:t>
      </w:r>
      <w:r w:rsidRPr="00E775B6">
        <w:rPr>
          <w:rFonts w:hint="eastAsia"/>
          <w:bCs/>
          <w:color w:val="000000"/>
        </w:rPr>
        <w:t>使用农药，事关</w:t>
      </w:r>
      <w:r>
        <w:rPr>
          <w:rFonts w:hint="eastAsia"/>
          <w:bCs/>
          <w:color w:val="000000"/>
        </w:rPr>
        <w:t>农业生产、生态环境、农产品质量和</w:t>
      </w:r>
      <w:r w:rsidR="00583E0B" w:rsidRPr="00E775B6">
        <w:rPr>
          <w:rFonts w:hint="eastAsia"/>
          <w:bCs/>
          <w:color w:val="000000"/>
        </w:rPr>
        <w:t>群众</w:t>
      </w:r>
      <w:r>
        <w:rPr>
          <w:rFonts w:hint="eastAsia"/>
          <w:bCs/>
          <w:color w:val="000000"/>
        </w:rPr>
        <w:t>生命等安全，需要大家共同支持和参与。区农业农村局安全使用农用药咨询热线：</w:t>
      </w:r>
      <w:r>
        <w:rPr>
          <w:rFonts w:hint="eastAsia"/>
          <w:bCs/>
          <w:color w:val="000000"/>
        </w:rPr>
        <w:t>0750-6373979</w:t>
      </w:r>
      <w:r>
        <w:rPr>
          <w:rFonts w:hint="eastAsia"/>
          <w:bCs/>
          <w:color w:val="000000"/>
        </w:rPr>
        <w:t>，接受信息咨询、问题和建议反馈，让我们共同携手、共同关心和共同促进依法安全使用农药，共建农产品质量安全新会！</w:t>
      </w:r>
      <w:bookmarkStart w:id="0" w:name="_GoBack"/>
      <w:bookmarkEnd w:id="0"/>
    </w:p>
    <w:sectPr w:rsidR="005E6429" w:rsidSect="005E64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16" w:rsidRDefault="00904816" w:rsidP="00583E0B">
      <w:r>
        <w:separator/>
      </w:r>
    </w:p>
  </w:endnote>
  <w:endnote w:type="continuationSeparator" w:id="0">
    <w:p w:rsidR="00904816" w:rsidRDefault="00904816" w:rsidP="0058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16" w:rsidRDefault="00904816" w:rsidP="00583E0B">
      <w:r>
        <w:separator/>
      </w:r>
    </w:p>
  </w:footnote>
  <w:footnote w:type="continuationSeparator" w:id="0">
    <w:p w:rsidR="00904816" w:rsidRDefault="00904816" w:rsidP="0058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0B6"/>
    <w:rsid w:val="00026181"/>
    <w:rsid w:val="000D7372"/>
    <w:rsid w:val="0013708A"/>
    <w:rsid w:val="00143481"/>
    <w:rsid w:val="001545CA"/>
    <w:rsid w:val="001700F9"/>
    <w:rsid w:val="001B4A4B"/>
    <w:rsid w:val="001B7AEF"/>
    <w:rsid w:val="002105DA"/>
    <w:rsid w:val="003B0B1C"/>
    <w:rsid w:val="00583E0B"/>
    <w:rsid w:val="00597336"/>
    <w:rsid w:val="005E6429"/>
    <w:rsid w:val="00624741"/>
    <w:rsid w:val="00636BD8"/>
    <w:rsid w:val="006370B6"/>
    <w:rsid w:val="007A0BF7"/>
    <w:rsid w:val="007F215C"/>
    <w:rsid w:val="008976E5"/>
    <w:rsid w:val="00904816"/>
    <w:rsid w:val="009058EB"/>
    <w:rsid w:val="009E05B9"/>
    <w:rsid w:val="00A6598C"/>
    <w:rsid w:val="00AF70F0"/>
    <w:rsid w:val="00B13D7E"/>
    <w:rsid w:val="00B33BCE"/>
    <w:rsid w:val="00D23173"/>
    <w:rsid w:val="00D3721F"/>
    <w:rsid w:val="00D71444"/>
    <w:rsid w:val="00E06F4B"/>
    <w:rsid w:val="00E33CE3"/>
    <w:rsid w:val="00E775B6"/>
    <w:rsid w:val="00F9539D"/>
    <w:rsid w:val="1F6C7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5AFF9-EEA4-4545-9089-51F74B99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29"/>
    <w:pPr>
      <w:widowControl w:val="0"/>
      <w:jc w:val="both"/>
    </w:pPr>
    <w:rPr>
      <w:kern w:val="2"/>
      <w:sz w:val="21"/>
      <w:szCs w:val="22"/>
    </w:rPr>
  </w:style>
  <w:style w:type="paragraph" w:styleId="3">
    <w:name w:val="heading 3"/>
    <w:basedOn w:val="a"/>
    <w:next w:val="a"/>
    <w:link w:val="3Char"/>
    <w:uiPriority w:val="9"/>
    <w:qFormat/>
    <w:rsid w:val="005E64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E64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6429"/>
    <w:rPr>
      <w:b/>
      <w:bCs/>
    </w:rPr>
  </w:style>
  <w:style w:type="character" w:styleId="a5">
    <w:name w:val="Emphasis"/>
    <w:basedOn w:val="a0"/>
    <w:uiPriority w:val="20"/>
    <w:qFormat/>
    <w:rsid w:val="005E6429"/>
    <w:rPr>
      <w:i/>
      <w:iCs/>
    </w:rPr>
  </w:style>
  <w:style w:type="paragraph" w:styleId="a6">
    <w:name w:val="List Paragraph"/>
    <w:basedOn w:val="a"/>
    <w:uiPriority w:val="34"/>
    <w:qFormat/>
    <w:rsid w:val="005E6429"/>
    <w:pPr>
      <w:ind w:firstLineChars="200" w:firstLine="420"/>
    </w:pPr>
  </w:style>
  <w:style w:type="character" w:customStyle="1" w:styleId="3Char">
    <w:name w:val="标题 3 Char"/>
    <w:basedOn w:val="a0"/>
    <w:link w:val="3"/>
    <w:uiPriority w:val="9"/>
    <w:rsid w:val="005E6429"/>
    <w:rPr>
      <w:rFonts w:ascii="宋体" w:eastAsia="宋体" w:hAnsi="宋体" w:cs="宋体"/>
      <w:b/>
      <w:bCs/>
      <w:kern w:val="0"/>
      <w:sz w:val="27"/>
      <w:szCs w:val="27"/>
    </w:rPr>
  </w:style>
  <w:style w:type="paragraph" w:styleId="a7">
    <w:name w:val="header"/>
    <w:basedOn w:val="a"/>
    <w:link w:val="Char"/>
    <w:uiPriority w:val="99"/>
    <w:unhideWhenUsed/>
    <w:rsid w:val="00583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83E0B"/>
    <w:rPr>
      <w:kern w:val="2"/>
      <w:sz w:val="18"/>
      <w:szCs w:val="18"/>
    </w:rPr>
  </w:style>
  <w:style w:type="paragraph" w:styleId="a8">
    <w:name w:val="footer"/>
    <w:basedOn w:val="a"/>
    <w:link w:val="Char0"/>
    <w:uiPriority w:val="99"/>
    <w:unhideWhenUsed/>
    <w:rsid w:val="00583E0B"/>
    <w:pPr>
      <w:tabs>
        <w:tab w:val="center" w:pos="4153"/>
        <w:tab w:val="right" w:pos="8306"/>
      </w:tabs>
      <w:snapToGrid w:val="0"/>
      <w:jc w:val="left"/>
    </w:pPr>
    <w:rPr>
      <w:sz w:val="18"/>
      <w:szCs w:val="18"/>
    </w:rPr>
  </w:style>
  <w:style w:type="character" w:customStyle="1" w:styleId="Char0">
    <w:name w:val="页脚 Char"/>
    <w:basedOn w:val="a0"/>
    <w:link w:val="a8"/>
    <w:uiPriority w:val="99"/>
    <w:rsid w:val="00583E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23BF6-EE58-4F79-A30E-874FBB29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388</Words>
  <Characters>2215</Characters>
  <Application>Microsoft Office Word</Application>
  <DocSecurity>0</DocSecurity>
  <Lines>18</Lines>
  <Paragraphs>5</Paragraphs>
  <ScaleCrop>false</ScaleCrop>
  <Company>Win7w.Com</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21</cp:revision>
  <dcterms:created xsi:type="dcterms:W3CDTF">2020-10-16T01:32:00Z</dcterms:created>
  <dcterms:modified xsi:type="dcterms:W3CDTF">2020-10-16T08:07:00Z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