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5102"/>
          <w:tab w:val="right" w:pos="10204"/>
        </w:tabs>
        <w:spacing w:line="320" w:lineRule="exact"/>
        <w:jc w:val="left"/>
        <w:rPr>
          <w:rFonts w:hint="eastAsia" w:ascii="黑体" w:hAnsi="黑体" w:eastAsia="黑体" w:cs="黑体"/>
          <w:bCs/>
          <w:color w:val="auto"/>
          <w:sz w:val="32"/>
          <w:szCs w:val="32"/>
        </w:rPr>
      </w:pPr>
      <w:r>
        <w:rPr>
          <w:rFonts w:hint="eastAsia" w:ascii="黑体" w:hAnsi="黑体" w:eastAsia="黑体" w:cs="黑体"/>
          <w:bCs/>
          <w:color w:val="auto"/>
          <w:sz w:val="32"/>
          <w:szCs w:val="32"/>
        </w:rPr>
        <w:t>附件3</w:t>
      </w:r>
    </w:p>
    <w:p>
      <w:pPr>
        <w:tabs>
          <w:tab w:val="center" w:pos="5102"/>
          <w:tab w:val="right" w:pos="10204"/>
        </w:tabs>
        <w:spacing w:line="360" w:lineRule="exact"/>
        <w:jc w:val="center"/>
        <w:rPr>
          <w:b/>
          <w:color w:val="auto"/>
          <w:sz w:val="32"/>
          <w:szCs w:val="32"/>
        </w:rPr>
      </w:pPr>
      <w:r>
        <w:rPr>
          <w:rFonts w:hint="eastAsia"/>
          <w:b/>
          <w:color w:val="auto"/>
          <w:sz w:val="32"/>
          <w:szCs w:val="32"/>
        </w:rPr>
        <w:t>新会区建设项目主要污染物排放总量指标调剂使用评分表</w:t>
      </w:r>
    </w:p>
    <w:p>
      <w:pPr>
        <w:tabs>
          <w:tab w:val="left" w:pos="8280"/>
        </w:tabs>
        <w:spacing w:line="320" w:lineRule="exact"/>
        <w:rPr>
          <w:color w:val="auto"/>
          <w:sz w:val="18"/>
          <w:szCs w:val="18"/>
        </w:rPr>
      </w:pPr>
      <w:r>
        <w:rPr>
          <w:rFonts w:hint="eastAsia"/>
          <w:b/>
          <w:color w:val="auto"/>
          <w:sz w:val="18"/>
          <w:szCs w:val="18"/>
        </w:rPr>
        <w:t>填表单位（盖章）</w:t>
      </w:r>
      <w:r>
        <w:rPr>
          <w:rFonts w:hint="eastAsia"/>
          <w:color w:val="auto"/>
          <w:sz w:val="18"/>
          <w:szCs w:val="18"/>
        </w:rPr>
        <w:t>：                                                                           20     年    月    日</w:t>
      </w:r>
    </w:p>
    <w:p>
      <w:pPr>
        <w:jc w:val="center"/>
        <w:rPr>
          <w:rFonts w:hint="eastAsia"/>
          <w:b/>
          <w:color w:val="auto"/>
          <w:sz w:val="18"/>
          <w:szCs w:val="18"/>
        </w:rPr>
        <w:sectPr>
          <w:headerReference r:id="rId3" w:type="default"/>
          <w:footerReference r:id="rId4" w:type="default"/>
          <w:pgSz w:w="11906" w:h="16838"/>
          <w:pgMar w:top="454" w:right="851" w:bottom="567" w:left="851" w:header="454" w:footer="340" w:gutter="0"/>
          <w:cols w:space="720" w:num="1"/>
          <w:docGrid w:type="linesAndChars" w:linePitch="312" w:charSpace="0"/>
        </w:sectPr>
      </w:pPr>
    </w:p>
    <w:tbl>
      <w:tblPr>
        <w:tblStyle w:val="4"/>
        <w:tblpPr w:leftFromText="180" w:rightFromText="180" w:vertAnchor="page" w:horzAnchor="page" w:tblpX="675" w:tblpY="1698"/>
        <w:tblOverlap w:val="never"/>
        <w:tblW w:w="107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942"/>
        <w:gridCol w:w="4501"/>
        <w:gridCol w:w="1064"/>
        <w:gridCol w:w="1035"/>
        <w:gridCol w:w="990"/>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5" w:type="dxa"/>
            <w:gridSpan w:val="3"/>
            <w:vMerge w:val="restart"/>
            <w:noWrap w:val="0"/>
            <w:vAlign w:val="top"/>
          </w:tcPr>
          <w:p>
            <w:pPr>
              <w:rPr>
                <w:color w:val="auto"/>
                <w:sz w:val="18"/>
                <w:szCs w:val="18"/>
              </w:rPr>
            </w:pPr>
            <w:r>
              <w:rPr>
                <w:rFonts w:hint="eastAsia"/>
                <w:b/>
                <w:color w:val="auto"/>
                <w:sz w:val="18"/>
                <w:szCs w:val="18"/>
              </w:rPr>
              <w:t>项目名称</w:t>
            </w:r>
            <w:r>
              <w:rPr>
                <w:rFonts w:hint="eastAsia"/>
                <w:color w:val="auto"/>
                <w:sz w:val="18"/>
                <w:szCs w:val="18"/>
              </w:rPr>
              <w:t>：</w:t>
            </w:r>
          </w:p>
          <w:p>
            <w:pPr>
              <w:rPr>
                <w:color w:val="auto"/>
                <w:sz w:val="18"/>
                <w:szCs w:val="18"/>
              </w:rPr>
            </w:pPr>
          </w:p>
        </w:tc>
        <w:tc>
          <w:tcPr>
            <w:tcW w:w="2099" w:type="dxa"/>
            <w:gridSpan w:val="2"/>
            <w:noWrap w:val="0"/>
            <w:vAlign w:val="center"/>
          </w:tcPr>
          <w:p>
            <w:pPr>
              <w:jc w:val="center"/>
              <w:rPr>
                <w:b/>
                <w:color w:val="auto"/>
                <w:sz w:val="18"/>
                <w:szCs w:val="18"/>
              </w:rPr>
            </w:pPr>
            <w:r>
              <w:rPr>
                <w:rFonts w:hint="eastAsia"/>
                <w:b/>
                <w:color w:val="auto"/>
                <w:sz w:val="18"/>
                <w:szCs w:val="18"/>
              </w:rPr>
              <w:t>项目联系人</w:t>
            </w:r>
          </w:p>
        </w:tc>
        <w:tc>
          <w:tcPr>
            <w:tcW w:w="1988" w:type="dxa"/>
            <w:gridSpan w:val="2"/>
            <w:noWrap w:val="0"/>
            <w:vAlign w:val="top"/>
          </w:tcPr>
          <w:p>
            <w:pPr>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6685" w:type="dxa"/>
            <w:gridSpan w:val="3"/>
            <w:vMerge w:val="continue"/>
            <w:noWrap w:val="0"/>
            <w:vAlign w:val="top"/>
          </w:tcPr>
          <w:p>
            <w:pPr>
              <w:rPr>
                <w:color w:val="auto"/>
                <w:sz w:val="18"/>
                <w:szCs w:val="18"/>
              </w:rPr>
            </w:pPr>
          </w:p>
        </w:tc>
        <w:tc>
          <w:tcPr>
            <w:tcW w:w="2099" w:type="dxa"/>
            <w:gridSpan w:val="2"/>
            <w:noWrap w:val="0"/>
            <w:vAlign w:val="center"/>
          </w:tcPr>
          <w:p>
            <w:pPr>
              <w:jc w:val="center"/>
              <w:rPr>
                <w:b/>
                <w:color w:val="auto"/>
                <w:sz w:val="18"/>
                <w:szCs w:val="18"/>
              </w:rPr>
            </w:pPr>
            <w:r>
              <w:rPr>
                <w:rFonts w:hint="eastAsia"/>
                <w:b/>
                <w:color w:val="auto"/>
                <w:sz w:val="18"/>
                <w:szCs w:val="18"/>
              </w:rPr>
              <w:t>联系人电话</w:t>
            </w:r>
          </w:p>
        </w:tc>
        <w:tc>
          <w:tcPr>
            <w:tcW w:w="1988" w:type="dxa"/>
            <w:gridSpan w:val="2"/>
            <w:noWrap w:val="0"/>
            <w:vAlign w:val="top"/>
          </w:tcPr>
          <w:p>
            <w:pPr>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exact"/>
        </w:trPr>
        <w:tc>
          <w:tcPr>
            <w:tcW w:w="2184" w:type="dxa"/>
            <w:gridSpan w:val="2"/>
            <w:tcBorders>
              <w:bottom w:val="single" w:color="auto" w:sz="4" w:space="0"/>
            </w:tcBorders>
            <w:noWrap w:val="0"/>
            <w:vAlign w:val="center"/>
          </w:tcPr>
          <w:p>
            <w:pPr>
              <w:jc w:val="center"/>
              <w:rPr>
                <w:rFonts w:hint="eastAsia"/>
                <w:b/>
                <w:color w:val="auto"/>
                <w:sz w:val="18"/>
                <w:szCs w:val="18"/>
              </w:rPr>
            </w:pPr>
            <w:r>
              <w:rPr>
                <w:rFonts w:hint="eastAsia"/>
                <w:b/>
                <w:color w:val="auto"/>
                <w:sz w:val="18"/>
                <w:szCs w:val="18"/>
              </w:rPr>
              <w:t>评价指标</w:t>
            </w:r>
          </w:p>
        </w:tc>
        <w:tc>
          <w:tcPr>
            <w:tcW w:w="5565" w:type="dxa"/>
            <w:gridSpan w:val="2"/>
            <w:tcBorders>
              <w:bottom w:val="single" w:color="auto" w:sz="4" w:space="0"/>
            </w:tcBorders>
            <w:noWrap w:val="0"/>
            <w:vAlign w:val="center"/>
          </w:tcPr>
          <w:p>
            <w:pPr>
              <w:jc w:val="center"/>
              <w:rPr>
                <w:rFonts w:hint="eastAsia"/>
                <w:b/>
                <w:color w:val="auto"/>
                <w:sz w:val="18"/>
                <w:szCs w:val="18"/>
              </w:rPr>
            </w:pPr>
            <w:r>
              <w:rPr>
                <w:rFonts w:hint="eastAsia"/>
                <w:b/>
                <w:color w:val="auto"/>
                <w:sz w:val="18"/>
                <w:szCs w:val="18"/>
              </w:rPr>
              <w:t>评分标准</w:t>
            </w:r>
          </w:p>
        </w:tc>
        <w:tc>
          <w:tcPr>
            <w:tcW w:w="1035" w:type="dxa"/>
            <w:tcBorders>
              <w:bottom w:val="single" w:color="auto" w:sz="4" w:space="0"/>
            </w:tcBorders>
            <w:noWrap w:val="0"/>
            <w:vAlign w:val="center"/>
          </w:tcPr>
          <w:p>
            <w:pPr>
              <w:jc w:val="center"/>
              <w:rPr>
                <w:rFonts w:hint="eastAsia"/>
                <w:b/>
                <w:color w:val="auto"/>
                <w:sz w:val="18"/>
                <w:szCs w:val="18"/>
              </w:rPr>
            </w:pPr>
            <w:r>
              <w:rPr>
                <w:rFonts w:hint="eastAsia"/>
                <w:b/>
                <w:color w:val="auto"/>
                <w:sz w:val="18"/>
                <w:szCs w:val="18"/>
              </w:rPr>
              <w:t>评分部门</w:t>
            </w:r>
          </w:p>
        </w:tc>
        <w:tc>
          <w:tcPr>
            <w:tcW w:w="990" w:type="dxa"/>
            <w:tcBorders>
              <w:bottom w:val="single" w:color="auto" w:sz="4" w:space="0"/>
            </w:tcBorders>
            <w:noWrap w:val="0"/>
            <w:vAlign w:val="center"/>
          </w:tcPr>
          <w:p>
            <w:pPr>
              <w:spacing w:line="240" w:lineRule="exact"/>
              <w:jc w:val="center"/>
              <w:rPr>
                <w:rFonts w:hint="eastAsia"/>
                <w:b/>
                <w:color w:val="auto"/>
                <w:sz w:val="18"/>
                <w:szCs w:val="18"/>
              </w:rPr>
            </w:pPr>
            <w:r>
              <w:rPr>
                <w:rFonts w:hint="eastAsia"/>
                <w:b/>
                <w:color w:val="auto"/>
                <w:sz w:val="18"/>
                <w:szCs w:val="18"/>
              </w:rPr>
              <w:t>申报单位自评得分</w:t>
            </w:r>
          </w:p>
        </w:tc>
        <w:tc>
          <w:tcPr>
            <w:tcW w:w="998" w:type="dxa"/>
            <w:tcBorders>
              <w:bottom w:val="single" w:color="auto" w:sz="4" w:space="0"/>
            </w:tcBorders>
            <w:noWrap w:val="0"/>
            <w:vAlign w:val="top"/>
          </w:tcPr>
          <w:p>
            <w:pPr>
              <w:spacing w:line="240" w:lineRule="exact"/>
              <w:jc w:val="center"/>
              <w:rPr>
                <w:rFonts w:hint="eastAsia"/>
                <w:b/>
                <w:color w:val="auto"/>
                <w:sz w:val="18"/>
                <w:szCs w:val="18"/>
              </w:rPr>
            </w:pPr>
            <w:r>
              <w:rPr>
                <w:rFonts w:hint="eastAsia"/>
                <w:b/>
                <w:color w:val="auto"/>
                <w:sz w:val="18"/>
                <w:szCs w:val="18"/>
              </w:rPr>
              <w:t>评分部门</w:t>
            </w:r>
          </w:p>
          <w:p>
            <w:pPr>
              <w:spacing w:line="240" w:lineRule="exact"/>
              <w:jc w:val="center"/>
              <w:rPr>
                <w:rFonts w:hint="eastAsia"/>
                <w:b/>
                <w:color w:val="auto"/>
                <w:sz w:val="18"/>
                <w:szCs w:val="18"/>
              </w:rPr>
            </w:pPr>
            <w:r>
              <w:rPr>
                <w:rFonts w:hint="eastAsia"/>
                <w:b/>
                <w:color w:val="auto"/>
                <w:sz w:val="18"/>
                <w:szCs w:val="18"/>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trPr>
        <w:tc>
          <w:tcPr>
            <w:tcW w:w="1242"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ascii="宋体" w:hAnsi="宋体" w:cs="宋体"/>
                <w:b/>
                <w:color w:val="auto"/>
                <w:sz w:val="18"/>
                <w:szCs w:val="18"/>
              </w:rPr>
            </w:pPr>
            <w:r>
              <w:rPr>
                <w:rFonts w:hint="eastAsia" w:ascii="宋体" w:hAnsi="宋体" w:cs="宋体"/>
                <w:b/>
                <w:color w:val="auto"/>
                <w:sz w:val="18"/>
                <w:szCs w:val="18"/>
              </w:rPr>
              <w:t>一、产业定位</w:t>
            </w:r>
          </w:p>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ascii="宋体" w:hAnsi="宋体" w:cs="宋体"/>
                <w:b/>
                <w:color w:val="auto"/>
                <w:sz w:val="18"/>
                <w:szCs w:val="18"/>
              </w:rPr>
            </w:pPr>
            <w:r>
              <w:rPr>
                <w:rFonts w:hint="eastAsia" w:ascii="宋体" w:hAnsi="宋体" w:cs="宋体"/>
                <w:b/>
                <w:color w:val="auto"/>
                <w:sz w:val="18"/>
                <w:szCs w:val="18"/>
              </w:rPr>
              <w:t>（共10分）</w:t>
            </w:r>
          </w:p>
        </w:tc>
        <w:tc>
          <w:tcPr>
            <w:tcW w:w="942"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基本分项</w:t>
            </w:r>
          </w:p>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（5分）</w:t>
            </w:r>
          </w:p>
        </w:tc>
        <w:tc>
          <w:tcPr>
            <w:tcW w:w="5565" w:type="dxa"/>
            <w:gridSpan w:val="2"/>
            <w:noWrap w:val="0"/>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auto"/>
              <w:rPr>
                <w:rFonts w:hint="eastAsia" w:ascii="宋体" w:hAnsi="宋体" w:cs="宋体"/>
                <w:color w:val="auto"/>
                <w:sz w:val="18"/>
                <w:szCs w:val="18"/>
              </w:rPr>
            </w:pPr>
            <w:r>
              <w:rPr>
                <w:rFonts w:hint="eastAsia" w:ascii="宋体" w:hAnsi="宋体" w:cs="宋体"/>
                <w:color w:val="auto"/>
                <w:sz w:val="18"/>
                <w:szCs w:val="18"/>
              </w:rPr>
              <w:t>符合国家产业发展政策和地区土地利用总体规划、城乡规划和产业发规划，不属于国家《产业结构调整指导目录（2019年本）》、《外商投资准入特别管理措施（负面清单）（2020年版）》、《江门市投资准入禁止限制目录（2018年本）》内限制、禁止或淘汰类的项目和我区限制发展和禁止发展的项目，得5分；否则不得分。</w:t>
            </w:r>
          </w:p>
        </w:tc>
        <w:tc>
          <w:tcPr>
            <w:tcW w:w="1035"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r>
              <w:rPr>
                <w:rFonts w:hint="eastAsia"/>
                <w:color w:val="auto"/>
                <w:sz w:val="18"/>
                <w:szCs w:val="18"/>
              </w:rPr>
              <w:t>区</w:t>
            </w:r>
            <w:r>
              <w:rPr>
                <w:rFonts w:hint="eastAsia"/>
                <w:color w:val="auto"/>
                <w:sz w:val="18"/>
                <w:szCs w:val="18"/>
                <w:lang w:eastAsia="zh-CN"/>
              </w:rPr>
              <w:t>发展改革</w:t>
            </w:r>
            <w:r>
              <w:rPr>
                <w:rFonts w:hint="eastAsia"/>
                <w:color w:val="auto"/>
                <w:sz w:val="18"/>
                <w:szCs w:val="18"/>
              </w:rPr>
              <w:t>局，其中工业技术改造项目由区科工商务局负责。</w:t>
            </w:r>
          </w:p>
        </w:tc>
        <w:tc>
          <w:tcPr>
            <w:tcW w:w="990"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8"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exact"/>
        </w:trPr>
        <w:tc>
          <w:tcPr>
            <w:tcW w:w="1242"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p>
        </w:tc>
        <w:tc>
          <w:tcPr>
            <w:tcW w:w="942"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加分项</w:t>
            </w:r>
          </w:p>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（5分）</w:t>
            </w:r>
          </w:p>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ascii="宋体" w:hAnsi="宋体" w:cs="宋体"/>
                <w:b/>
                <w:color w:val="auto"/>
                <w:sz w:val="18"/>
                <w:szCs w:val="18"/>
              </w:rPr>
            </w:pPr>
            <w:r>
              <w:rPr>
                <w:rFonts w:hint="eastAsia" w:ascii="宋体" w:hAnsi="宋体" w:cs="宋体"/>
                <w:b/>
                <w:color w:val="auto"/>
                <w:sz w:val="18"/>
                <w:szCs w:val="18"/>
              </w:rPr>
              <w:t>（封顶</w:t>
            </w:r>
          </w:p>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ascii="宋体" w:hAnsi="宋体" w:cs="宋体"/>
                <w:b/>
                <w:color w:val="auto"/>
                <w:sz w:val="18"/>
                <w:szCs w:val="18"/>
              </w:rPr>
            </w:pPr>
            <w:r>
              <w:rPr>
                <w:rFonts w:hint="eastAsia" w:ascii="宋体" w:hAnsi="宋体" w:cs="宋体"/>
                <w:b/>
                <w:color w:val="auto"/>
                <w:sz w:val="18"/>
                <w:szCs w:val="18"/>
              </w:rPr>
              <w:t>5分）</w:t>
            </w:r>
          </w:p>
        </w:tc>
        <w:tc>
          <w:tcPr>
            <w:tcW w:w="5565" w:type="dxa"/>
            <w:gridSpan w:val="2"/>
            <w:noWrap w:val="0"/>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auto"/>
              <w:rPr>
                <w:rFonts w:hint="eastAsia" w:ascii="宋体" w:hAnsi="宋体" w:cs="宋体"/>
                <w:color w:val="auto"/>
                <w:sz w:val="18"/>
                <w:szCs w:val="18"/>
              </w:rPr>
            </w:pPr>
            <w:r>
              <w:rPr>
                <w:rFonts w:hint="eastAsia" w:ascii="宋体" w:hAnsi="宋体" w:cs="宋体"/>
                <w:color w:val="auto"/>
                <w:sz w:val="18"/>
                <w:szCs w:val="18"/>
              </w:rPr>
              <w:t>列入国家或省战略性新兴产业目录的，加1分；</w:t>
            </w:r>
          </w:p>
        </w:tc>
        <w:tc>
          <w:tcPr>
            <w:tcW w:w="1035"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ind w:left="-105" w:leftChars="-50" w:right="-105" w:rightChars="-50"/>
              <w:jc w:val="left"/>
              <w:textAlignment w:val="auto"/>
              <w:rPr>
                <w:color w:val="auto"/>
                <w:sz w:val="18"/>
                <w:szCs w:val="18"/>
              </w:rPr>
            </w:pPr>
          </w:p>
        </w:tc>
        <w:tc>
          <w:tcPr>
            <w:tcW w:w="990"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8"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2"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b/>
                <w:color w:val="auto"/>
                <w:sz w:val="18"/>
                <w:szCs w:val="18"/>
              </w:rPr>
            </w:pPr>
          </w:p>
        </w:tc>
        <w:tc>
          <w:tcPr>
            <w:tcW w:w="942"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b/>
                <w:color w:val="auto"/>
                <w:sz w:val="18"/>
                <w:szCs w:val="18"/>
              </w:rPr>
            </w:pPr>
          </w:p>
        </w:tc>
        <w:tc>
          <w:tcPr>
            <w:tcW w:w="5565" w:type="dxa"/>
            <w:gridSpan w:val="2"/>
            <w:noWrap w:val="0"/>
            <w:vAlign w:val="center"/>
          </w:tcPr>
          <w:p>
            <w:pPr>
              <w:keepNext w:val="0"/>
              <w:keepLines w:val="0"/>
              <w:pageBreakBefore w:val="0"/>
              <w:widowControl w:val="0"/>
              <w:kinsoku/>
              <w:wordWrap/>
              <w:overflowPunct/>
              <w:topLinePunct w:val="0"/>
              <w:autoSpaceDE/>
              <w:autoSpaceDN/>
              <w:bidi w:val="0"/>
              <w:snapToGrid/>
              <w:spacing w:line="200" w:lineRule="exact"/>
              <w:textAlignment w:val="auto"/>
              <w:rPr>
                <w:rFonts w:hint="eastAsia" w:ascii="宋体" w:hAnsi="宋体" w:cs="宋体"/>
                <w:color w:val="auto"/>
                <w:sz w:val="18"/>
                <w:szCs w:val="18"/>
              </w:rPr>
            </w:pPr>
            <w:r>
              <w:rPr>
                <w:rFonts w:hint="eastAsia" w:ascii="宋体" w:hAnsi="宋体" w:cs="宋体"/>
                <w:color w:val="auto"/>
                <w:sz w:val="18"/>
                <w:szCs w:val="18"/>
              </w:rPr>
              <w:t>属于《广东省发展改革委关于进一步明确我省优先发展产业的通知》、《珠江口西岸高端产业集聚发展区产业规划》中主导产业及区政府确定的我区主导发展产业的，加1分。</w:t>
            </w:r>
          </w:p>
        </w:tc>
        <w:tc>
          <w:tcPr>
            <w:tcW w:w="1035"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ind w:left="-105" w:leftChars="-50" w:right="-105" w:rightChars="-50"/>
              <w:jc w:val="left"/>
              <w:textAlignment w:val="auto"/>
              <w:rPr>
                <w:color w:val="auto"/>
                <w:sz w:val="18"/>
                <w:szCs w:val="18"/>
              </w:rPr>
            </w:pPr>
          </w:p>
        </w:tc>
        <w:tc>
          <w:tcPr>
            <w:tcW w:w="990"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8"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1242"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b/>
                <w:color w:val="auto"/>
                <w:sz w:val="18"/>
                <w:szCs w:val="18"/>
              </w:rPr>
            </w:pPr>
          </w:p>
        </w:tc>
        <w:tc>
          <w:tcPr>
            <w:tcW w:w="942"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b/>
                <w:color w:val="auto"/>
                <w:sz w:val="18"/>
                <w:szCs w:val="18"/>
              </w:rPr>
            </w:pPr>
          </w:p>
        </w:tc>
        <w:tc>
          <w:tcPr>
            <w:tcW w:w="5565" w:type="dxa"/>
            <w:gridSpan w:val="2"/>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color w:val="auto"/>
                <w:sz w:val="18"/>
                <w:szCs w:val="18"/>
              </w:rPr>
            </w:pPr>
            <w:r>
              <w:rPr>
                <w:rFonts w:hint="eastAsia" w:ascii="宋体" w:hAnsi="宋体" w:cs="宋体"/>
                <w:color w:val="auto"/>
                <w:sz w:val="18"/>
                <w:szCs w:val="18"/>
              </w:rPr>
              <w:t>国家《产业结构调整指导目录（2019年本）》及《鼓励外商投资产业目录（2019年版）》鼓励类的，或在广东轨道交通产业园、银洲湖纸业基地、深江产业园（大泽园区、司前园区）、珠西新材料集聚区、粤澳（江门）产业合作示范区等区域内且符合相关园区产业功能定位的，加1分。</w:t>
            </w:r>
          </w:p>
        </w:tc>
        <w:tc>
          <w:tcPr>
            <w:tcW w:w="1035"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ind w:left="-105" w:leftChars="-50" w:right="-105" w:rightChars="-50"/>
              <w:jc w:val="left"/>
              <w:textAlignment w:val="auto"/>
              <w:rPr>
                <w:color w:val="auto"/>
                <w:sz w:val="18"/>
                <w:szCs w:val="18"/>
              </w:rPr>
            </w:pPr>
          </w:p>
        </w:tc>
        <w:tc>
          <w:tcPr>
            <w:tcW w:w="990"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8"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exact"/>
        </w:trPr>
        <w:tc>
          <w:tcPr>
            <w:tcW w:w="1242"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b/>
                <w:color w:val="auto"/>
                <w:sz w:val="18"/>
                <w:szCs w:val="18"/>
              </w:rPr>
            </w:pPr>
          </w:p>
        </w:tc>
        <w:tc>
          <w:tcPr>
            <w:tcW w:w="942"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b/>
                <w:color w:val="auto"/>
                <w:sz w:val="18"/>
                <w:szCs w:val="18"/>
              </w:rPr>
            </w:pPr>
          </w:p>
        </w:tc>
        <w:tc>
          <w:tcPr>
            <w:tcW w:w="5565" w:type="dxa"/>
            <w:gridSpan w:val="2"/>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color w:val="auto"/>
                <w:sz w:val="18"/>
                <w:szCs w:val="18"/>
              </w:rPr>
            </w:pPr>
            <w:r>
              <w:rPr>
                <w:rFonts w:hint="eastAsia" w:ascii="宋体" w:hAnsi="宋体" w:cs="宋体"/>
                <w:color w:val="auto"/>
                <w:sz w:val="18"/>
                <w:szCs w:val="18"/>
              </w:rPr>
              <w:t>当年省重点项目，加3分；市重点项目，加2分；区重点项目，加1分。多项得分的取最高分值。</w:t>
            </w:r>
          </w:p>
        </w:tc>
        <w:tc>
          <w:tcPr>
            <w:tcW w:w="1035"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ind w:left="-105" w:leftChars="-50" w:right="-105" w:rightChars="-50"/>
              <w:jc w:val="left"/>
              <w:textAlignment w:val="auto"/>
              <w:rPr>
                <w:color w:val="auto"/>
                <w:sz w:val="18"/>
                <w:szCs w:val="18"/>
              </w:rPr>
            </w:pPr>
          </w:p>
        </w:tc>
        <w:tc>
          <w:tcPr>
            <w:tcW w:w="990"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8"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242"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b/>
                <w:color w:val="auto"/>
                <w:sz w:val="18"/>
                <w:szCs w:val="18"/>
              </w:rPr>
            </w:pPr>
          </w:p>
        </w:tc>
        <w:tc>
          <w:tcPr>
            <w:tcW w:w="7542" w:type="dxa"/>
            <w:gridSpan w:val="4"/>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color w:val="auto"/>
                <w:sz w:val="18"/>
                <w:szCs w:val="18"/>
              </w:rPr>
            </w:pPr>
            <w:r>
              <w:rPr>
                <w:rFonts w:hint="eastAsia"/>
                <w:color w:val="auto"/>
                <w:sz w:val="18"/>
                <w:szCs w:val="18"/>
              </w:rPr>
              <w:t>合计</w:t>
            </w:r>
          </w:p>
        </w:tc>
        <w:tc>
          <w:tcPr>
            <w:tcW w:w="990"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8"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42"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ascii="宋体" w:hAnsi="宋体" w:cs="宋体"/>
                <w:b/>
                <w:color w:val="auto"/>
                <w:sz w:val="18"/>
                <w:szCs w:val="18"/>
              </w:rPr>
            </w:pPr>
            <w:r>
              <w:rPr>
                <w:rFonts w:hint="eastAsia" w:ascii="宋体" w:hAnsi="宋体" w:cs="宋体"/>
                <w:b/>
                <w:color w:val="auto"/>
                <w:sz w:val="18"/>
                <w:szCs w:val="18"/>
              </w:rPr>
              <w:t>二、能耗强度</w:t>
            </w:r>
          </w:p>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ascii="宋体" w:hAnsi="宋体" w:cs="宋体"/>
                <w:b/>
                <w:color w:val="auto"/>
                <w:sz w:val="18"/>
                <w:szCs w:val="18"/>
              </w:rPr>
            </w:pPr>
            <w:r>
              <w:rPr>
                <w:rFonts w:hint="eastAsia" w:ascii="宋体" w:hAnsi="宋体" w:cs="宋体"/>
                <w:b/>
                <w:color w:val="auto"/>
                <w:sz w:val="18"/>
                <w:szCs w:val="18"/>
              </w:rPr>
              <w:t>（共10分）</w:t>
            </w:r>
          </w:p>
        </w:tc>
        <w:tc>
          <w:tcPr>
            <w:tcW w:w="942"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基本分项</w:t>
            </w:r>
          </w:p>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（5分）</w:t>
            </w:r>
          </w:p>
        </w:tc>
        <w:tc>
          <w:tcPr>
            <w:tcW w:w="5565" w:type="dxa"/>
            <w:gridSpan w:val="2"/>
            <w:noWrap w:val="0"/>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auto"/>
              <w:rPr>
                <w:rFonts w:hint="eastAsia" w:ascii="宋体" w:hAnsi="宋体" w:cs="宋体"/>
                <w:color w:val="auto"/>
                <w:sz w:val="18"/>
                <w:szCs w:val="18"/>
              </w:rPr>
            </w:pPr>
            <w:r>
              <w:rPr>
                <w:rFonts w:hint="eastAsia" w:ascii="宋体" w:hAnsi="宋体" w:cs="宋体"/>
                <w:color w:val="auto"/>
                <w:sz w:val="18"/>
                <w:szCs w:val="18"/>
              </w:rPr>
              <w:t>项目单位产值综合能耗低于上年度我区规模以上工业单位产值综合能耗的，得5分，否则不得分。</w:t>
            </w:r>
          </w:p>
        </w:tc>
        <w:tc>
          <w:tcPr>
            <w:tcW w:w="1035"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color w:val="auto"/>
                <w:sz w:val="18"/>
                <w:szCs w:val="18"/>
              </w:rPr>
            </w:pPr>
            <w:r>
              <w:rPr>
                <w:rFonts w:hint="eastAsia"/>
                <w:color w:val="auto"/>
                <w:sz w:val="18"/>
                <w:szCs w:val="18"/>
              </w:rPr>
              <w:t>区</w:t>
            </w:r>
            <w:r>
              <w:rPr>
                <w:rFonts w:hint="eastAsia"/>
                <w:color w:val="auto"/>
                <w:sz w:val="18"/>
                <w:szCs w:val="18"/>
                <w:lang w:eastAsia="zh-CN"/>
              </w:rPr>
              <w:t>发展改革</w:t>
            </w:r>
            <w:r>
              <w:rPr>
                <w:rFonts w:hint="eastAsia"/>
                <w:color w:val="auto"/>
                <w:sz w:val="18"/>
                <w:szCs w:val="18"/>
              </w:rPr>
              <w:t>局。</w:t>
            </w:r>
          </w:p>
        </w:tc>
        <w:tc>
          <w:tcPr>
            <w:tcW w:w="990"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8"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1242"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p>
        </w:tc>
        <w:tc>
          <w:tcPr>
            <w:tcW w:w="942"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加分项</w:t>
            </w:r>
          </w:p>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（5分）</w:t>
            </w:r>
          </w:p>
        </w:tc>
        <w:tc>
          <w:tcPr>
            <w:tcW w:w="5565" w:type="dxa"/>
            <w:gridSpan w:val="2"/>
            <w:noWrap w:val="0"/>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auto"/>
              <w:rPr>
                <w:rFonts w:hint="eastAsia" w:ascii="宋体" w:hAnsi="宋体" w:cs="宋体"/>
                <w:color w:val="auto"/>
                <w:sz w:val="18"/>
                <w:szCs w:val="18"/>
              </w:rPr>
            </w:pPr>
            <w:r>
              <w:rPr>
                <w:rFonts w:hint="eastAsia" w:ascii="宋体" w:hAnsi="宋体" w:cs="宋体"/>
                <w:color w:val="auto"/>
                <w:sz w:val="18"/>
                <w:szCs w:val="18"/>
              </w:rPr>
              <w:t>项目单位产值综合能耗低于上年度我区规模以上工业单位产值综合能耗90%以上（含90%）的，加5分；低于90%-70%（含70%）的，加4分；低于70％-50％（含50％）的，加3分；低于50％-30％（含30％）的，加2分；低于30％-10％（含10％）的，加1分。</w:t>
            </w:r>
          </w:p>
        </w:tc>
        <w:tc>
          <w:tcPr>
            <w:tcW w:w="1035"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ind w:left="-105" w:leftChars="-50" w:right="-105" w:rightChars="-50"/>
              <w:jc w:val="left"/>
              <w:textAlignment w:val="auto"/>
              <w:rPr>
                <w:color w:val="auto"/>
                <w:sz w:val="18"/>
                <w:szCs w:val="18"/>
              </w:rPr>
            </w:pPr>
          </w:p>
        </w:tc>
        <w:tc>
          <w:tcPr>
            <w:tcW w:w="990"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8"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242"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b/>
                <w:color w:val="auto"/>
                <w:sz w:val="18"/>
                <w:szCs w:val="18"/>
              </w:rPr>
            </w:pPr>
          </w:p>
        </w:tc>
        <w:tc>
          <w:tcPr>
            <w:tcW w:w="7542" w:type="dxa"/>
            <w:gridSpan w:val="4"/>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color w:val="auto"/>
                <w:sz w:val="18"/>
                <w:szCs w:val="18"/>
              </w:rPr>
            </w:pPr>
            <w:r>
              <w:rPr>
                <w:rFonts w:hint="eastAsia"/>
                <w:color w:val="auto"/>
                <w:sz w:val="18"/>
                <w:szCs w:val="18"/>
              </w:rPr>
              <w:t>合计</w:t>
            </w:r>
          </w:p>
        </w:tc>
        <w:tc>
          <w:tcPr>
            <w:tcW w:w="990"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8"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1242"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三、投资规模</w:t>
            </w:r>
          </w:p>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（共10分）</w:t>
            </w:r>
          </w:p>
        </w:tc>
        <w:tc>
          <w:tcPr>
            <w:tcW w:w="942"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基本分项</w:t>
            </w:r>
          </w:p>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（5分）</w:t>
            </w:r>
          </w:p>
        </w:tc>
        <w:tc>
          <w:tcPr>
            <w:tcW w:w="5565" w:type="dxa"/>
            <w:gridSpan w:val="2"/>
            <w:noWrap w:val="0"/>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auto"/>
              <w:rPr>
                <w:rFonts w:hint="eastAsia" w:ascii="宋体" w:hAnsi="宋体" w:cs="宋体"/>
                <w:color w:val="auto"/>
                <w:sz w:val="18"/>
                <w:szCs w:val="18"/>
              </w:rPr>
            </w:pPr>
            <w:r>
              <w:rPr>
                <w:rFonts w:hint="eastAsia" w:ascii="宋体" w:hAnsi="宋体" w:cs="宋体"/>
                <w:color w:val="auto"/>
                <w:sz w:val="18"/>
                <w:szCs w:val="18"/>
              </w:rPr>
              <w:t>会城街道、经济开发区、广东轨道交通产业园、银洲湖纸业基地、深江产业园（大泽园区、司前园区）、珠西新材料集聚区、粤澳（江门）产业合作示范区等地区实际投资2000万元人民币以上的，其他地区1500万元以上的，得5分，否则得3分。</w:t>
            </w:r>
          </w:p>
        </w:tc>
        <w:tc>
          <w:tcPr>
            <w:tcW w:w="1035"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r>
              <w:rPr>
                <w:rFonts w:hint="eastAsia"/>
                <w:color w:val="auto"/>
                <w:sz w:val="18"/>
                <w:szCs w:val="18"/>
              </w:rPr>
              <w:t>区</w:t>
            </w:r>
            <w:r>
              <w:rPr>
                <w:rFonts w:hint="eastAsia"/>
                <w:color w:val="auto"/>
                <w:sz w:val="18"/>
                <w:szCs w:val="18"/>
                <w:lang w:eastAsia="zh-CN"/>
              </w:rPr>
              <w:t>发展改革</w:t>
            </w:r>
            <w:r>
              <w:rPr>
                <w:rFonts w:hint="eastAsia"/>
                <w:color w:val="auto"/>
                <w:sz w:val="18"/>
                <w:szCs w:val="18"/>
              </w:rPr>
              <w:t>局，其中工业技术改造项目由区科工商务局负责。</w:t>
            </w:r>
          </w:p>
        </w:tc>
        <w:tc>
          <w:tcPr>
            <w:tcW w:w="990"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8"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1242"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p>
        </w:tc>
        <w:tc>
          <w:tcPr>
            <w:tcW w:w="942"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加分项</w:t>
            </w:r>
          </w:p>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（5分）</w:t>
            </w:r>
          </w:p>
        </w:tc>
        <w:tc>
          <w:tcPr>
            <w:tcW w:w="5565" w:type="dxa"/>
            <w:gridSpan w:val="2"/>
            <w:noWrap w:val="0"/>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auto"/>
              <w:rPr>
                <w:rFonts w:hint="eastAsia" w:ascii="宋体" w:hAnsi="宋体" w:cs="宋体"/>
                <w:color w:val="auto"/>
                <w:sz w:val="18"/>
                <w:szCs w:val="18"/>
              </w:rPr>
            </w:pPr>
            <w:r>
              <w:rPr>
                <w:rFonts w:hint="eastAsia" w:ascii="宋体" w:hAnsi="宋体" w:cs="宋体"/>
                <w:color w:val="auto"/>
                <w:sz w:val="18"/>
                <w:szCs w:val="18"/>
              </w:rPr>
              <w:t>符合基本条件的基础上，项目实际投资每增加5000万元的加1分，最高加5分。</w:t>
            </w:r>
          </w:p>
        </w:tc>
        <w:tc>
          <w:tcPr>
            <w:tcW w:w="1035"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ind w:left="-105" w:leftChars="-50" w:right="-105" w:rightChars="-50"/>
              <w:jc w:val="center"/>
              <w:textAlignment w:val="auto"/>
              <w:rPr>
                <w:color w:val="auto"/>
                <w:sz w:val="18"/>
                <w:szCs w:val="18"/>
              </w:rPr>
            </w:pPr>
          </w:p>
        </w:tc>
        <w:tc>
          <w:tcPr>
            <w:tcW w:w="990"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8"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242"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b/>
                <w:color w:val="auto"/>
                <w:sz w:val="18"/>
                <w:szCs w:val="18"/>
              </w:rPr>
            </w:pPr>
          </w:p>
        </w:tc>
        <w:tc>
          <w:tcPr>
            <w:tcW w:w="7542" w:type="dxa"/>
            <w:gridSpan w:val="4"/>
            <w:noWrap w:val="0"/>
            <w:vAlign w:val="center"/>
          </w:tcPr>
          <w:p>
            <w:pPr>
              <w:keepNext w:val="0"/>
              <w:keepLines w:val="0"/>
              <w:pageBreakBefore w:val="0"/>
              <w:widowControl w:val="0"/>
              <w:kinsoku/>
              <w:wordWrap/>
              <w:overflowPunct/>
              <w:topLinePunct w:val="0"/>
              <w:autoSpaceDE/>
              <w:autoSpaceDN/>
              <w:bidi w:val="0"/>
              <w:snapToGrid/>
              <w:spacing w:line="200" w:lineRule="exact"/>
              <w:ind w:left="-105" w:leftChars="-50" w:right="-105" w:rightChars="-50"/>
              <w:jc w:val="center"/>
              <w:textAlignment w:val="auto"/>
              <w:rPr>
                <w:color w:val="auto"/>
                <w:sz w:val="18"/>
                <w:szCs w:val="18"/>
              </w:rPr>
            </w:pPr>
            <w:r>
              <w:rPr>
                <w:rFonts w:hint="eastAsia"/>
                <w:color w:val="auto"/>
                <w:sz w:val="18"/>
                <w:szCs w:val="18"/>
              </w:rPr>
              <w:t>合计</w:t>
            </w:r>
          </w:p>
        </w:tc>
        <w:tc>
          <w:tcPr>
            <w:tcW w:w="990"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8"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trPr>
        <w:tc>
          <w:tcPr>
            <w:tcW w:w="1242"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四、投资强度</w:t>
            </w:r>
          </w:p>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（共5分）</w:t>
            </w:r>
          </w:p>
        </w:tc>
        <w:tc>
          <w:tcPr>
            <w:tcW w:w="942"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基本分项</w:t>
            </w:r>
          </w:p>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（3分）</w:t>
            </w:r>
          </w:p>
        </w:tc>
        <w:tc>
          <w:tcPr>
            <w:tcW w:w="5565" w:type="dxa"/>
            <w:gridSpan w:val="2"/>
            <w:noWrap w:val="0"/>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auto"/>
              <w:rPr>
                <w:rFonts w:hint="eastAsia" w:ascii="宋体" w:hAnsi="宋体" w:cs="宋体"/>
                <w:color w:val="auto"/>
                <w:sz w:val="18"/>
                <w:szCs w:val="18"/>
              </w:rPr>
            </w:pPr>
            <w:r>
              <w:rPr>
                <w:rFonts w:hint="eastAsia" w:ascii="宋体" w:hAnsi="宋体" w:cs="宋体"/>
                <w:color w:val="auto"/>
                <w:sz w:val="18"/>
                <w:szCs w:val="18"/>
              </w:rPr>
              <w:t>进入银洲湖（会城街道、双水镇、崖门镇、三江镇、古井镇、沙堆镇、司前镇、睦洲镇和经济开发区）项目投资强度不少于250万元/亩的；深江产业园（大泽园区、司前园区）、粤澳（江门）产业合作示范基地、珠西新材料集聚区以及轨道装备园不低于350万元/亩，其他地区投资强度不低于200万元/亩，得3分；否则得1分。</w:t>
            </w:r>
          </w:p>
        </w:tc>
        <w:tc>
          <w:tcPr>
            <w:tcW w:w="1035"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r>
              <w:rPr>
                <w:rFonts w:hint="eastAsia"/>
                <w:color w:val="auto"/>
                <w:sz w:val="18"/>
                <w:szCs w:val="18"/>
              </w:rPr>
              <w:t>区</w:t>
            </w:r>
            <w:r>
              <w:rPr>
                <w:rFonts w:hint="eastAsia"/>
                <w:color w:val="auto"/>
                <w:sz w:val="18"/>
                <w:szCs w:val="18"/>
                <w:lang w:eastAsia="zh-CN"/>
              </w:rPr>
              <w:t>发展改革</w:t>
            </w:r>
            <w:r>
              <w:rPr>
                <w:rFonts w:hint="eastAsia"/>
                <w:color w:val="auto"/>
                <w:sz w:val="18"/>
                <w:szCs w:val="18"/>
              </w:rPr>
              <w:t>局，其中工业技术改造项目由区科工商务局责。</w:t>
            </w:r>
          </w:p>
        </w:tc>
        <w:tc>
          <w:tcPr>
            <w:tcW w:w="990"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8"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242"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p>
        </w:tc>
        <w:tc>
          <w:tcPr>
            <w:tcW w:w="942"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加分项</w:t>
            </w:r>
          </w:p>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（2分）</w:t>
            </w:r>
          </w:p>
        </w:tc>
        <w:tc>
          <w:tcPr>
            <w:tcW w:w="5565" w:type="dxa"/>
            <w:gridSpan w:val="2"/>
            <w:noWrap w:val="0"/>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auto"/>
              <w:rPr>
                <w:rFonts w:hint="eastAsia" w:ascii="宋体" w:hAnsi="宋体" w:cs="宋体"/>
                <w:color w:val="auto"/>
                <w:sz w:val="18"/>
                <w:szCs w:val="18"/>
              </w:rPr>
            </w:pPr>
            <w:r>
              <w:rPr>
                <w:rFonts w:hint="eastAsia" w:ascii="宋体" w:hAnsi="宋体" w:cs="宋体"/>
                <w:color w:val="auto"/>
                <w:sz w:val="18"/>
                <w:szCs w:val="18"/>
              </w:rPr>
              <w:t>符合基本条件的基础上，项目实际投资每增加20万元/亩，加1分，最高</w:t>
            </w:r>
            <w:r>
              <w:rPr>
                <w:rFonts w:hint="eastAsia" w:ascii="宋体" w:hAnsi="宋体" w:cs="宋体"/>
                <w:color w:val="auto"/>
                <w:sz w:val="18"/>
                <w:szCs w:val="18"/>
                <w:lang w:eastAsia="zh-CN"/>
              </w:rPr>
              <w:t>加</w:t>
            </w:r>
            <w:r>
              <w:rPr>
                <w:rFonts w:hint="eastAsia" w:ascii="宋体" w:hAnsi="宋体" w:cs="宋体"/>
                <w:color w:val="auto"/>
                <w:sz w:val="18"/>
                <w:szCs w:val="18"/>
              </w:rPr>
              <w:t>2分。</w:t>
            </w:r>
          </w:p>
        </w:tc>
        <w:tc>
          <w:tcPr>
            <w:tcW w:w="1035"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ind w:left="-105" w:leftChars="-50" w:right="-105" w:rightChars="-50"/>
              <w:jc w:val="center"/>
              <w:textAlignment w:val="auto"/>
              <w:rPr>
                <w:color w:val="auto"/>
                <w:sz w:val="18"/>
                <w:szCs w:val="18"/>
              </w:rPr>
            </w:pPr>
          </w:p>
        </w:tc>
        <w:tc>
          <w:tcPr>
            <w:tcW w:w="990"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8"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242"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b/>
                <w:color w:val="auto"/>
                <w:sz w:val="18"/>
                <w:szCs w:val="18"/>
              </w:rPr>
            </w:pPr>
          </w:p>
        </w:tc>
        <w:tc>
          <w:tcPr>
            <w:tcW w:w="7542" w:type="dxa"/>
            <w:gridSpan w:val="4"/>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r>
              <w:rPr>
                <w:rFonts w:hint="eastAsia"/>
                <w:color w:val="auto"/>
                <w:sz w:val="18"/>
                <w:szCs w:val="18"/>
              </w:rPr>
              <w:t>合计</w:t>
            </w:r>
          </w:p>
        </w:tc>
        <w:tc>
          <w:tcPr>
            <w:tcW w:w="990" w:type="dxa"/>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p>
        </w:tc>
        <w:tc>
          <w:tcPr>
            <w:tcW w:w="998" w:type="dxa"/>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242"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五、容积率</w:t>
            </w:r>
          </w:p>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（共5分）</w:t>
            </w:r>
          </w:p>
        </w:tc>
        <w:tc>
          <w:tcPr>
            <w:tcW w:w="942"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基本分项</w:t>
            </w:r>
          </w:p>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（3分）</w:t>
            </w:r>
          </w:p>
        </w:tc>
        <w:tc>
          <w:tcPr>
            <w:tcW w:w="5565" w:type="dxa"/>
            <w:gridSpan w:val="2"/>
            <w:noWrap w:val="0"/>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auto"/>
              <w:rPr>
                <w:rFonts w:hint="eastAsia" w:ascii="宋体" w:hAnsi="宋体" w:cs="宋体"/>
                <w:color w:val="auto"/>
                <w:sz w:val="18"/>
                <w:szCs w:val="18"/>
              </w:rPr>
            </w:pPr>
            <w:r>
              <w:rPr>
                <w:rFonts w:hint="eastAsia" w:ascii="宋体" w:hAnsi="宋体" w:cs="宋体"/>
                <w:color w:val="auto"/>
                <w:sz w:val="18"/>
                <w:szCs w:val="18"/>
              </w:rPr>
              <w:t>一般工业、仓储物流项目容积率不低于1.2的得3分；特定工业园区工业项目容积率不低于1.0的得3分（珠西新材料集聚区特殊工业类项目不低于0.7的得3分），否则得2分。</w:t>
            </w:r>
          </w:p>
        </w:tc>
        <w:tc>
          <w:tcPr>
            <w:tcW w:w="1035"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r>
              <w:rPr>
                <w:rFonts w:hint="eastAsia"/>
                <w:color w:val="auto"/>
                <w:sz w:val="18"/>
                <w:szCs w:val="18"/>
              </w:rPr>
              <w:t>区自然资源局。</w:t>
            </w:r>
          </w:p>
        </w:tc>
        <w:tc>
          <w:tcPr>
            <w:tcW w:w="990"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8"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242"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p>
        </w:tc>
        <w:tc>
          <w:tcPr>
            <w:tcW w:w="942"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加分项</w:t>
            </w:r>
          </w:p>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（2分）</w:t>
            </w:r>
          </w:p>
        </w:tc>
        <w:tc>
          <w:tcPr>
            <w:tcW w:w="5565" w:type="dxa"/>
            <w:gridSpan w:val="2"/>
            <w:noWrap w:val="0"/>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auto"/>
              <w:rPr>
                <w:rFonts w:hint="eastAsia" w:ascii="宋体" w:hAnsi="宋体" w:cs="宋体"/>
                <w:color w:val="auto"/>
                <w:sz w:val="18"/>
                <w:szCs w:val="18"/>
              </w:rPr>
            </w:pPr>
            <w:r>
              <w:rPr>
                <w:rFonts w:hint="eastAsia" w:ascii="宋体" w:hAnsi="宋体" w:cs="宋体"/>
                <w:color w:val="auto"/>
                <w:sz w:val="18"/>
                <w:szCs w:val="18"/>
              </w:rPr>
              <w:t>在符合基本条件的基础上，一般工业、仓储物流项目容积率每提高0.25，加0.5分；特定工业园区工业项目容积率每提高0.5，加0.5分，最高加2分。</w:t>
            </w:r>
          </w:p>
        </w:tc>
        <w:tc>
          <w:tcPr>
            <w:tcW w:w="1035"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0"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8"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242"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b/>
                <w:color w:val="auto"/>
                <w:sz w:val="18"/>
                <w:szCs w:val="18"/>
              </w:rPr>
            </w:pPr>
          </w:p>
        </w:tc>
        <w:tc>
          <w:tcPr>
            <w:tcW w:w="7542" w:type="dxa"/>
            <w:gridSpan w:val="4"/>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r>
              <w:rPr>
                <w:rFonts w:hint="eastAsia"/>
                <w:color w:val="auto"/>
                <w:sz w:val="18"/>
                <w:szCs w:val="18"/>
              </w:rPr>
              <w:t>合计</w:t>
            </w:r>
          </w:p>
        </w:tc>
        <w:tc>
          <w:tcPr>
            <w:tcW w:w="990"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8"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bl>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b/>
          <w:color w:val="auto"/>
          <w:sz w:val="18"/>
          <w:szCs w:val="18"/>
        </w:rPr>
        <w:sectPr>
          <w:type w:val="continuous"/>
          <w:pgSz w:w="11906" w:h="16838"/>
          <w:pgMar w:top="284" w:right="851" w:bottom="284" w:left="851" w:header="851" w:footer="284" w:gutter="0"/>
          <w:cols w:space="720" w:num="1"/>
          <w:docGrid w:type="lines" w:linePitch="312" w:charSpace="0"/>
        </w:sectPr>
      </w:pPr>
    </w:p>
    <w:tbl>
      <w:tblPr>
        <w:tblStyle w:val="4"/>
        <w:tblpPr w:leftFromText="180" w:rightFromText="180" w:vertAnchor="page" w:horzAnchor="page" w:tblpXSpec="center" w:tblpY="821"/>
        <w:tblOverlap w:val="never"/>
        <w:tblW w:w="10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134"/>
        <w:gridCol w:w="993"/>
        <w:gridCol w:w="5034"/>
        <w:gridCol w:w="1061"/>
        <w:gridCol w:w="99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738" w:type="dxa"/>
            <w:gridSpan w:val="3"/>
            <w:noWrap w:val="0"/>
            <w:vAlign w:val="center"/>
          </w:tcPr>
          <w:p>
            <w:pPr>
              <w:keepNext w:val="0"/>
              <w:keepLines w:val="0"/>
              <w:pageBreakBefore w:val="0"/>
              <w:widowControl w:val="0"/>
              <w:tabs>
                <w:tab w:val="center" w:pos="1261"/>
              </w:tabs>
              <w:kinsoku/>
              <w:wordWrap/>
              <w:overflowPunct/>
              <w:topLinePunct w:val="0"/>
              <w:autoSpaceDE/>
              <w:autoSpaceDN/>
              <w:bidi w:val="0"/>
              <w:snapToGrid/>
              <w:spacing w:line="200" w:lineRule="exact"/>
              <w:jc w:val="center"/>
              <w:textAlignment w:val="auto"/>
              <w:rPr>
                <w:rFonts w:hint="eastAsia" w:ascii="宋体" w:hAnsi="宋体" w:cs="宋体"/>
                <w:b/>
                <w:color w:val="auto"/>
                <w:sz w:val="18"/>
                <w:szCs w:val="18"/>
              </w:rPr>
            </w:pPr>
            <w:r>
              <w:rPr>
                <w:rFonts w:hint="eastAsia"/>
                <w:b/>
                <w:color w:val="auto"/>
                <w:sz w:val="18"/>
                <w:szCs w:val="18"/>
              </w:rPr>
              <w:t>评价指标</w:t>
            </w: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ascii="宋体" w:hAnsi="宋体" w:cs="宋体"/>
                <w:color w:val="auto"/>
                <w:sz w:val="18"/>
                <w:szCs w:val="18"/>
              </w:rPr>
            </w:pPr>
            <w:r>
              <w:rPr>
                <w:rFonts w:hint="eastAsia"/>
                <w:b/>
                <w:color w:val="auto"/>
                <w:sz w:val="18"/>
                <w:szCs w:val="18"/>
              </w:rPr>
              <w:t>评分标准</w:t>
            </w:r>
          </w:p>
        </w:tc>
        <w:tc>
          <w:tcPr>
            <w:tcW w:w="1061"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b/>
                <w:color w:val="auto"/>
                <w:sz w:val="18"/>
                <w:szCs w:val="18"/>
              </w:rPr>
              <w:t>评分部门</w:t>
            </w: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r>
              <w:rPr>
                <w:rFonts w:hint="eastAsia"/>
                <w:b/>
                <w:color w:val="auto"/>
                <w:sz w:val="18"/>
                <w:szCs w:val="18"/>
              </w:rPr>
              <w:t>申报单位自评得分</w:t>
            </w: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r>
              <w:rPr>
                <w:rFonts w:hint="eastAsia"/>
                <w:b/>
                <w:color w:val="auto"/>
                <w:sz w:val="18"/>
                <w:szCs w:val="18"/>
              </w:rPr>
              <w:t>评分部门评价得分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611"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b/>
                <w:color w:val="auto"/>
                <w:sz w:val="18"/>
                <w:szCs w:val="18"/>
              </w:rPr>
            </w:pPr>
            <w:r>
              <w:rPr>
                <w:rFonts w:hint="eastAsia" w:ascii="宋体" w:hAnsi="宋体" w:cs="宋体"/>
                <w:b/>
                <w:color w:val="auto"/>
                <w:sz w:val="18"/>
                <w:szCs w:val="18"/>
              </w:rPr>
              <w:t>六、环保要求（共60分）</w:t>
            </w:r>
          </w:p>
        </w:tc>
        <w:tc>
          <w:tcPr>
            <w:tcW w:w="1134"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b/>
                <w:color w:val="auto"/>
                <w:sz w:val="18"/>
                <w:szCs w:val="18"/>
              </w:rPr>
              <w:t>选址合理性（共15分）（加减分后封顶至15分、封底至0分）</w:t>
            </w:r>
          </w:p>
        </w:tc>
        <w:tc>
          <w:tcPr>
            <w:tcW w:w="993"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基本分项</w:t>
            </w:r>
          </w:p>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（10分）</w:t>
            </w: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ascii="宋体" w:hAnsi="宋体" w:cs="宋体"/>
                <w:color w:val="auto"/>
                <w:sz w:val="18"/>
                <w:szCs w:val="18"/>
              </w:rPr>
              <w:t>选址符合生态环境、用地等相关规划，具有环境可行性的，得10分，否则不得分。</w:t>
            </w:r>
          </w:p>
        </w:tc>
        <w:tc>
          <w:tcPr>
            <w:tcW w:w="1061"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color w:val="auto"/>
                <w:sz w:val="18"/>
                <w:szCs w:val="18"/>
              </w:rPr>
              <w:t>江门市生态环境局新会分局。</w:t>
            </w: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ascii="宋体" w:hAnsi="宋体" w:cs="宋体"/>
                <w:b/>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p>
        </w:tc>
        <w:tc>
          <w:tcPr>
            <w:tcW w:w="993"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加减分项（5分）</w:t>
            </w: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ascii="宋体" w:hAnsi="宋体" w:cs="宋体"/>
                <w:color w:val="auto"/>
                <w:sz w:val="18"/>
                <w:szCs w:val="18"/>
              </w:rPr>
              <w:t>选址在已完成规划环评的工业园区，加5分；选址在未完成规划环评，但在江门市生态环境局新会分局备案的工业园或工业集聚区的，加2.5分。</w:t>
            </w:r>
          </w:p>
        </w:tc>
        <w:tc>
          <w:tcPr>
            <w:tcW w:w="106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ascii="宋体" w:hAnsi="宋体" w:cs="宋体"/>
                <w:b/>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p>
        </w:tc>
        <w:tc>
          <w:tcPr>
            <w:tcW w:w="993"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ascii="宋体" w:hAnsi="宋体" w:cs="宋体"/>
                <w:color w:val="auto"/>
                <w:sz w:val="18"/>
                <w:szCs w:val="18"/>
              </w:rPr>
              <w:t>选址边界相距学校、医院、集中居住区等环境敏感点直线距离少于50米的减5分；直线距离少于100米的减4分；直线距离少于150米的减3分；直线距离少于200米的减2分；直线距离少于250米的减1分。</w:t>
            </w:r>
          </w:p>
        </w:tc>
        <w:tc>
          <w:tcPr>
            <w:tcW w:w="106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ascii="宋体" w:hAnsi="宋体" w:cs="宋体"/>
                <w:b/>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p>
        </w:tc>
        <w:tc>
          <w:tcPr>
            <w:tcW w:w="7088" w:type="dxa"/>
            <w:gridSpan w:val="3"/>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r>
              <w:rPr>
                <w:rFonts w:hint="eastAsia"/>
                <w:color w:val="auto"/>
                <w:sz w:val="18"/>
                <w:szCs w:val="18"/>
              </w:rPr>
              <w:t>合计</w:t>
            </w: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b/>
                <w:color w:val="auto"/>
                <w:sz w:val="18"/>
                <w:szCs w:val="18"/>
              </w:rPr>
            </w:pPr>
          </w:p>
        </w:tc>
        <w:tc>
          <w:tcPr>
            <w:tcW w:w="1134"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涉及化学需氧量和氨氮总量指标（共15分）（加减分后封顶至15分、封底至0分）（无生产废水产生的，直接得15</w:t>
            </w:r>
            <w:bookmarkStart w:id="0" w:name="_GoBack"/>
            <w:bookmarkEnd w:id="0"/>
            <w:r>
              <w:rPr>
                <w:rFonts w:hint="eastAsia" w:ascii="宋体" w:hAnsi="宋体" w:cs="宋体"/>
                <w:b/>
                <w:color w:val="auto"/>
                <w:sz w:val="18"/>
                <w:szCs w:val="18"/>
              </w:rPr>
              <w:t>分）</w:t>
            </w:r>
          </w:p>
        </w:tc>
        <w:tc>
          <w:tcPr>
            <w:tcW w:w="993"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基本分项</w:t>
            </w:r>
          </w:p>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（10分）</w:t>
            </w: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r>
              <w:rPr>
                <w:rFonts w:hint="eastAsia"/>
                <w:color w:val="auto"/>
                <w:sz w:val="18"/>
                <w:szCs w:val="18"/>
              </w:rPr>
              <w:t>符合废水治理环保相关规定，可实现达标排放，并且受纳水体具有水环境容量的；或者受纳水体不具有水环境容量，排放标准自愿执行相应地表水环境质量标准的，得10分，否则不得分。</w:t>
            </w:r>
          </w:p>
        </w:tc>
        <w:tc>
          <w:tcPr>
            <w:tcW w:w="1061"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color w:val="auto"/>
                <w:sz w:val="18"/>
                <w:szCs w:val="18"/>
              </w:rPr>
              <w:t>江门市生态环境局新会分局。</w:t>
            </w: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p>
        </w:tc>
        <w:tc>
          <w:tcPr>
            <w:tcW w:w="993"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加减分项（5分）</w:t>
            </w: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color w:val="auto"/>
                <w:sz w:val="18"/>
                <w:szCs w:val="18"/>
              </w:rPr>
              <w:t>位于工业集中污水处理厂纳污范围，生产废水交工业集中污水处理厂处理，加5分。</w:t>
            </w:r>
          </w:p>
        </w:tc>
        <w:tc>
          <w:tcPr>
            <w:tcW w:w="106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3"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b/>
                <w:color w:val="auto"/>
                <w:sz w:val="18"/>
                <w:szCs w:val="18"/>
              </w:rPr>
            </w:pP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color w:val="auto"/>
                <w:sz w:val="18"/>
                <w:szCs w:val="18"/>
              </w:rPr>
              <w:t>生产废水属于零散工业废水，交零散工业废水第三方治理企业处理，加3分。</w:t>
            </w:r>
          </w:p>
        </w:tc>
        <w:tc>
          <w:tcPr>
            <w:tcW w:w="106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3"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b/>
                <w:color w:val="auto"/>
                <w:sz w:val="18"/>
                <w:szCs w:val="18"/>
              </w:rPr>
            </w:pP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color w:val="auto"/>
                <w:sz w:val="18"/>
                <w:szCs w:val="18"/>
              </w:rPr>
              <w:t>有生产废水产生但通过治理有回用的，回用率每提高20%加1分。</w:t>
            </w:r>
          </w:p>
        </w:tc>
        <w:tc>
          <w:tcPr>
            <w:tcW w:w="106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3"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b/>
                <w:color w:val="auto"/>
                <w:sz w:val="18"/>
                <w:szCs w:val="18"/>
              </w:rPr>
            </w:pPr>
          </w:p>
        </w:tc>
        <w:tc>
          <w:tcPr>
            <w:tcW w:w="5034" w:type="dxa"/>
            <w:noWrap w:val="0"/>
            <w:vAlign w:val="center"/>
          </w:tcPr>
          <w:p>
            <w:pPr>
              <w:keepNext w:val="0"/>
              <w:keepLines w:val="0"/>
              <w:pageBreakBefore w:val="0"/>
              <w:widowControl w:val="0"/>
              <w:kinsoku/>
              <w:wordWrap/>
              <w:overflowPunct/>
              <w:topLinePunct w:val="0"/>
              <w:autoSpaceDE/>
              <w:autoSpaceDN/>
              <w:bidi w:val="0"/>
              <w:adjustRightInd w:val="0"/>
              <w:snapToGrid/>
              <w:spacing w:line="200" w:lineRule="exact"/>
              <w:jc w:val="left"/>
              <w:textAlignment w:val="auto"/>
              <w:rPr>
                <w:rFonts w:hint="eastAsia"/>
                <w:color w:val="auto"/>
                <w:sz w:val="18"/>
                <w:szCs w:val="18"/>
              </w:rPr>
            </w:pPr>
            <w:r>
              <w:rPr>
                <w:rFonts w:hint="eastAsia"/>
                <w:color w:val="auto"/>
                <w:sz w:val="18"/>
                <w:szCs w:val="18"/>
              </w:rPr>
              <w:t>自愿执行水污染物特别排放限值或提高相应水污染物排放标准的，加2.5分。</w:t>
            </w:r>
          </w:p>
        </w:tc>
        <w:tc>
          <w:tcPr>
            <w:tcW w:w="106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3"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b/>
                <w:color w:val="auto"/>
                <w:sz w:val="18"/>
                <w:szCs w:val="18"/>
              </w:rPr>
            </w:pP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color w:val="auto"/>
                <w:sz w:val="18"/>
                <w:szCs w:val="18"/>
              </w:rPr>
              <w:t>集中工业污水处理项目加5分。</w:t>
            </w:r>
          </w:p>
        </w:tc>
        <w:tc>
          <w:tcPr>
            <w:tcW w:w="106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3"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b/>
                <w:color w:val="auto"/>
                <w:sz w:val="18"/>
                <w:szCs w:val="18"/>
              </w:rPr>
            </w:pP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color w:val="auto"/>
                <w:sz w:val="18"/>
                <w:szCs w:val="18"/>
              </w:rPr>
              <w:t>所在行业有清洁生产评价体系，达到国际清洁生产先进水平的加5分，达到国内清洁生产先进水平的加2.5分，达到国内清洁生产平均水平的不加分，低于国内清洁生产平均水平的减5分。</w:t>
            </w:r>
          </w:p>
        </w:tc>
        <w:tc>
          <w:tcPr>
            <w:tcW w:w="106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3"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b/>
                <w:color w:val="auto"/>
                <w:sz w:val="18"/>
                <w:szCs w:val="18"/>
              </w:rPr>
            </w:pP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color w:val="auto"/>
                <w:sz w:val="18"/>
                <w:szCs w:val="18"/>
              </w:rPr>
              <w:t>化学需氧量排放总量在1吨（含1吨）-2吨之间的减1分，在2吨（含2吨）-5吨之间的减3分，5吨（含5吨）以上的减5分，但集中工业污水处理项目不减分。</w:t>
            </w:r>
          </w:p>
        </w:tc>
        <w:tc>
          <w:tcPr>
            <w:tcW w:w="106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7088" w:type="dxa"/>
            <w:gridSpan w:val="3"/>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r>
              <w:rPr>
                <w:rFonts w:hint="eastAsia"/>
                <w:color w:val="auto"/>
                <w:sz w:val="18"/>
                <w:szCs w:val="18"/>
              </w:rPr>
              <w:t>合计</w:t>
            </w: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涉及废气中二氧化硫和氮氧化物总量指标（共15分）（加减分后封顶至15分、封底至0分）（无含有二氧化硫和氮氧化物废气产生的，直接得15分）</w:t>
            </w:r>
          </w:p>
        </w:tc>
        <w:tc>
          <w:tcPr>
            <w:tcW w:w="993"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基本分项</w:t>
            </w:r>
          </w:p>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（10分）</w:t>
            </w: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color w:val="auto"/>
                <w:sz w:val="18"/>
                <w:szCs w:val="18"/>
              </w:rPr>
              <w:t>符合废气治理环保相关规定，可实现达标排放，并且所在区域具有大气环境容量的，得10分，否则不得分。</w:t>
            </w:r>
          </w:p>
        </w:tc>
        <w:tc>
          <w:tcPr>
            <w:tcW w:w="1061"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color w:val="auto"/>
                <w:sz w:val="18"/>
                <w:szCs w:val="18"/>
              </w:rPr>
              <w:t>江门市生态环境局新会分局。</w:t>
            </w: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p>
        </w:tc>
        <w:tc>
          <w:tcPr>
            <w:tcW w:w="993"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加减分项（5分）</w:t>
            </w: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color w:val="auto"/>
                <w:sz w:val="18"/>
                <w:szCs w:val="18"/>
              </w:rPr>
              <w:t>排放的二氧化硫和氮氧化物仅来源于燃料燃烧且所使用燃料为清洁能源的，加5分。</w:t>
            </w:r>
          </w:p>
        </w:tc>
        <w:tc>
          <w:tcPr>
            <w:tcW w:w="106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3"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color w:val="auto"/>
                <w:sz w:val="18"/>
                <w:szCs w:val="18"/>
              </w:rPr>
              <w:t>自愿执行大气污染物特别排放限值或提高相应大气污染物排放标准的，加2.5分。</w:t>
            </w:r>
          </w:p>
        </w:tc>
        <w:tc>
          <w:tcPr>
            <w:tcW w:w="106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3"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color w:val="auto"/>
                <w:sz w:val="18"/>
                <w:szCs w:val="18"/>
              </w:rPr>
              <w:t>集中供热项目加5分。</w:t>
            </w:r>
          </w:p>
        </w:tc>
        <w:tc>
          <w:tcPr>
            <w:tcW w:w="106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3"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color w:val="auto"/>
                <w:sz w:val="18"/>
                <w:szCs w:val="18"/>
              </w:rPr>
              <w:t>所在行业有清洁生产评价体系，达到国际清洁生产先进水平的加5分，达到国内清洁生产先进水平的加2.5分，达到国内清洁生产平均水平的不加分，低于国内清洁生产平均水平的减5分。</w:t>
            </w:r>
          </w:p>
        </w:tc>
        <w:tc>
          <w:tcPr>
            <w:tcW w:w="106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3"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color w:val="auto"/>
                <w:sz w:val="18"/>
                <w:szCs w:val="18"/>
              </w:rPr>
              <w:t>氮氧化物排放总量在2吨（含2吨）-5吨之间的减1分，在5吨（含5吨）-10吨之间的减3分，10吨（含10吨）以上的减5分，但集中供热项目不减分。</w:t>
            </w:r>
          </w:p>
        </w:tc>
        <w:tc>
          <w:tcPr>
            <w:tcW w:w="106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7088" w:type="dxa"/>
            <w:gridSpan w:val="3"/>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r>
              <w:rPr>
                <w:rFonts w:hint="eastAsia"/>
                <w:color w:val="auto"/>
                <w:sz w:val="18"/>
                <w:szCs w:val="18"/>
              </w:rPr>
              <w:t>合计</w:t>
            </w: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涉及废气中挥发性有机物（VOCs）总量指标（共15分）（加减分后封顶至15分、封底至0分）（无含有VOCs废气产生的，直接得15分）</w:t>
            </w:r>
          </w:p>
        </w:tc>
        <w:tc>
          <w:tcPr>
            <w:tcW w:w="993"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基本分项</w:t>
            </w:r>
          </w:p>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（10分）</w:t>
            </w: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color w:val="auto"/>
                <w:sz w:val="18"/>
                <w:szCs w:val="18"/>
              </w:rPr>
              <w:t>符合VOCs治理相关环保规定，可实现达标排放，并且所在区域具有大气环境容量的，得10分，否则不得分。</w:t>
            </w:r>
          </w:p>
        </w:tc>
        <w:tc>
          <w:tcPr>
            <w:tcW w:w="1061"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color w:val="auto"/>
                <w:sz w:val="18"/>
                <w:szCs w:val="18"/>
              </w:rPr>
              <w:t>江门市生态环境局新会分局。</w:t>
            </w: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p>
        </w:tc>
        <w:tc>
          <w:tcPr>
            <w:tcW w:w="993" w:type="dxa"/>
            <w:vMerge w:val="restart"/>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ascii="宋体" w:hAnsi="宋体" w:cs="宋体"/>
                <w:b/>
                <w:color w:val="auto"/>
                <w:sz w:val="18"/>
                <w:szCs w:val="18"/>
              </w:rPr>
            </w:pPr>
            <w:r>
              <w:rPr>
                <w:rFonts w:hint="eastAsia" w:ascii="宋体" w:hAnsi="宋体" w:cs="宋体"/>
                <w:b/>
                <w:color w:val="auto"/>
                <w:sz w:val="18"/>
                <w:szCs w:val="18"/>
              </w:rPr>
              <w:t>加减分项（5分）</w:t>
            </w: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color w:val="auto"/>
                <w:sz w:val="18"/>
                <w:szCs w:val="18"/>
              </w:rPr>
              <w:t>自愿执行大气污染物特别排放限值或提高相应大气污染物排放标准的，加2.5分。</w:t>
            </w:r>
          </w:p>
        </w:tc>
        <w:tc>
          <w:tcPr>
            <w:tcW w:w="106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3"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color w:val="auto"/>
                <w:sz w:val="18"/>
                <w:szCs w:val="18"/>
              </w:rPr>
              <w:t>全部使用低VOCs含量原料的不减分，否则减5分。</w:t>
            </w:r>
          </w:p>
        </w:tc>
        <w:tc>
          <w:tcPr>
            <w:tcW w:w="106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3"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color w:val="auto"/>
                <w:sz w:val="18"/>
                <w:szCs w:val="18"/>
              </w:rPr>
              <w:t>位于主城区且在工业用地控制线范围内的，减5分；位于主城区且在工业用地控制线范围之外的，基本分项和加减分项均不得分。</w:t>
            </w:r>
          </w:p>
        </w:tc>
        <w:tc>
          <w:tcPr>
            <w:tcW w:w="106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3"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r>
              <w:rPr>
                <w:rFonts w:hint="eastAsia"/>
                <w:color w:val="auto"/>
                <w:sz w:val="18"/>
                <w:szCs w:val="18"/>
              </w:rPr>
              <w:t>挥发性有机物（VOCs）排放总量在0.5吨（含0.5吨）-1吨之间的减1分，在1吨（含1吨）-3吨之间的减3分，3吨（含3吨）以上的减5分，但属于规划定点的喷涂共性工厂项目不减分。</w:t>
            </w:r>
          </w:p>
        </w:tc>
        <w:tc>
          <w:tcPr>
            <w:tcW w:w="106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993"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p>
        </w:tc>
        <w:tc>
          <w:tcPr>
            <w:tcW w:w="5034"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b/>
                <w:color w:val="auto"/>
                <w:sz w:val="18"/>
                <w:szCs w:val="18"/>
              </w:rPr>
            </w:pPr>
            <w:r>
              <w:rPr>
                <w:rFonts w:hint="eastAsia"/>
                <w:color w:val="auto"/>
                <w:sz w:val="18"/>
                <w:szCs w:val="18"/>
              </w:rPr>
              <w:t>从事来料加工的喷涂项目减5分，规划定点的喷涂共性工厂项目除外。</w:t>
            </w:r>
          </w:p>
        </w:tc>
        <w:tc>
          <w:tcPr>
            <w:tcW w:w="106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611"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1134" w:type="dxa"/>
            <w:vMerge w:val="continue"/>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color w:val="auto"/>
                <w:sz w:val="18"/>
                <w:szCs w:val="18"/>
              </w:rPr>
            </w:pPr>
          </w:p>
        </w:tc>
        <w:tc>
          <w:tcPr>
            <w:tcW w:w="7088" w:type="dxa"/>
            <w:gridSpan w:val="3"/>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r>
              <w:rPr>
                <w:rFonts w:hint="eastAsia"/>
                <w:color w:val="auto"/>
                <w:sz w:val="18"/>
                <w:szCs w:val="18"/>
              </w:rPr>
              <w:t>合计</w:t>
            </w: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bl>
    <w:tbl>
      <w:tblPr>
        <w:tblStyle w:val="4"/>
        <w:tblpPr w:leftFromText="180" w:rightFromText="180" w:vertAnchor="text" w:horzAnchor="page" w:tblpXSpec="center" w:tblpY="-446"/>
        <w:tblOverlap w:val="never"/>
        <w:tblW w:w="10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3"/>
        <w:gridCol w:w="99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833" w:type="dxa"/>
            <w:noWrap w:val="0"/>
            <w:vAlign w:val="center"/>
          </w:tcPr>
          <w:p>
            <w:pPr>
              <w:keepNext w:val="0"/>
              <w:keepLines w:val="0"/>
              <w:pageBreakBefore w:val="0"/>
              <w:widowControl w:val="0"/>
              <w:kinsoku/>
              <w:wordWrap/>
              <w:overflowPunct/>
              <w:topLinePunct w:val="0"/>
              <w:autoSpaceDE/>
              <w:autoSpaceDN/>
              <w:bidi w:val="0"/>
              <w:snapToGrid/>
              <w:spacing w:line="200" w:lineRule="exact"/>
              <w:jc w:val="center"/>
              <w:textAlignment w:val="auto"/>
              <w:rPr>
                <w:rFonts w:hint="eastAsia"/>
                <w:color w:val="auto"/>
                <w:sz w:val="18"/>
                <w:szCs w:val="18"/>
              </w:rPr>
            </w:pPr>
            <w:r>
              <w:rPr>
                <w:rFonts w:hint="eastAsia"/>
                <w:b/>
                <w:bCs/>
                <w:color w:val="auto"/>
                <w:szCs w:val="21"/>
              </w:rPr>
              <w:t>总计</w:t>
            </w:r>
          </w:p>
        </w:tc>
        <w:tc>
          <w:tcPr>
            <w:tcW w:w="992" w:type="dxa"/>
            <w:noWrap w:val="0"/>
            <w:vAlign w:val="top"/>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c>
          <w:tcPr>
            <w:tcW w:w="992" w:type="dxa"/>
            <w:noWrap w:val="0"/>
            <w:vAlign w:val="center"/>
          </w:tcPr>
          <w:p>
            <w:pPr>
              <w:keepNext w:val="0"/>
              <w:keepLines w:val="0"/>
              <w:pageBreakBefore w:val="0"/>
              <w:widowControl w:val="0"/>
              <w:kinsoku/>
              <w:wordWrap/>
              <w:overflowPunct/>
              <w:topLinePunct w:val="0"/>
              <w:autoSpaceDE/>
              <w:autoSpaceDN/>
              <w:bidi w:val="0"/>
              <w:snapToGrid/>
              <w:spacing w:line="200" w:lineRule="exact"/>
              <w:jc w:val="left"/>
              <w:textAlignment w:val="auto"/>
              <w:rPr>
                <w:rFonts w:hint="eastAsia"/>
                <w:color w:val="auto"/>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15</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pPr>
                      <w:pStyle w:val="2"/>
                      <w:rPr>
                        <w:rFonts w:hint="eastAsia"/>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15</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517863"/>
    <w:rsid w:val="555178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2021-03-02T03:20:00Z</dcterms:created>
  <dc:creator>S_now</dc:creator>
  <cp:lastModifiedBy>S_now</cp:lastModifiedBy>
  <dcterms:modified xsi:type="dcterms:W3CDTF">2021-03-02T03:22:49Z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