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B6" w:rsidRPr="008A28CE" w:rsidRDefault="000538B6" w:rsidP="000538B6">
      <w:pPr>
        <w:pStyle w:val="1"/>
        <w:snapToGrid w:val="0"/>
        <w:spacing w:line="360" w:lineRule="auto"/>
        <w:ind w:firstLineChars="0" w:firstLine="0"/>
        <w:outlineLvl w:val="1"/>
        <w:rPr>
          <w:rFonts w:ascii="仿宋_GB2312" w:eastAsia="仿宋_GB2312" w:hAnsiTheme="minorHAnsi" w:cstheme="minorBidi"/>
          <w:sz w:val="32"/>
          <w:szCs w:val="28"/>
        </w:rPr>
      </w:pPr>
      <w:r w:rsidRPr="008A28CE">
        <w:rPr>
          <w:rFonts w:ascii="仿宋_GB2312" w:eastAsia="仿宋_GB2312" w:hAnsiTheme="minorHAnsi" w:cstheme="minorBidi" w:hint="eastAsia"/>
          <w:sz w:val="32"/>
          <w:szCs w:val="28"/>
        </w:rPr>
        <w:t xml:space="preserve">附件4 </w:t>
      </w:r>
    </w:p>
    <w:p w:rsidR="006F31FA" w:rsidRPr="006F31FA" w:rsidRDefault="006F31FA" w:rsidP="006713BB">
      <w:pPr>
        <w:pStyle w:val="1"/>
        <w:snapToGrid w:val="0"/>
        <w:spacing w:line="360" w:lineRule="auto"/>
        <w:ind w:firstLineChars="0" w:firstLine="0"/>
        <w:jc w:val="center"/>
        <w:outlineLvl w:val="1"/>
        <w:rPr>
          <w:rFonts w:ascii="黑体" w:eastAsia="黑体" w:hAnsi="黑体"/>
          <w:sz w:val="40"/>
          <w:szCs w:val="30"/>
        </w:rPr>
      </w:pPr>
      <w:r w:rsidRPr="006F31FA">
        <w:rPr>
          <w:rFonts w:ascii="黑体" w:eastAsia="黑体" w:hAnsi="黑体" w:cs="宋体" w:hint="eastAsia"/>
          <w:color w:val="333333"/>
          <w:kern w:val="0"/>
          <w:sz w:val="44"/>
          <w:szCs w:val="32"/>
        </w:rPr>
        <w:t>关于部分检验项目的说明</w:t>
      </w:r>
    </w:p>
    <w:p w:rsidR="007C0FC2" w:rsidRPr="00D57DD7" w:rsidRDefault="004073AF" w:rsidP="00D57DD7">
      <w:pPr>
        <w:adjustRightInd w:val="0"/>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w:t>
      </w:r>
      <w:r w:rsidR="00642CF8" w:rsidRPr="00D57DD7">
        <w:rPr>
          <w:rFonts w:ascii="仿宋" w:eastAsia="仿宋" w:hAnsi="仿宋" w:cs="仿宋" w:hint="eastAsia"/>
          <w:b/>
          <w:sz w:val="32"/>
          <w:szCs w:val="32"/>
        </w:rPr>
        <w:t>标签</w:t>
      </w:r>
    </w:p>
    <w:p w:rsidR="00642CF8" w:rsidRPr="00642CF8" w:rsidRDefault="00642CF8" w:rsidP="00642CF8">
      <w:pPr>
        <w:adjustRightInd w:val="0"/>
        <w:snapToGrid w:val="0"/>
        <w:spacing w:line="600" w:lineRule="exact"/>
        <w:ind w:firstLineChars="200" w:firstLine="640"/>
        <w:rPr>
          <w:rFonts w:ascii="仿宋" w:eastAsia="仿宋" w:hAnsi="仿宋" w:cs="仿宋"/>
          <w:sz w:val="32"/>
          <w:szCs w:val="32"/>
        </w:rPr>
      </w:pPr>
      <w:r w:rsidRPr="00642CF8">
        <w:rPr>
          <w:rFonts w:ascii="仿宋" w:eastAsia="仿宋" w:hAnsi="仿宋" w:cs="仿宋" w:hint="eastAsia"/>
          <w:sz w:val="32"/>
          <w:szCs w:val="32"/>
        </w:rPr>
        <w:t>食品标签指</w:t>
      </w:r>
      <w:r w:rsidRPr="00642CF8">
        <w:rPr>
          <w:rFonts w:ascii="仿宋" w:eastAsia="仿宋" w:hAnsi="仿宋" w:cs="仿宋"/>
          <w:sz w:val="32"/>
          <w:szCs w:val="32"/>
        </w:rPr>
        <w:t>食品包装上的文字、图形、符号及一切说明物。应符合法律、法规的规定，并符合相应食品安全标准</w:t>
      </w:r>
      <w:r>
        <w:rPr>
          <w:rFonts w:ascii="仿宋" w:eastAsia="仿宋" w:hAnsi="仿宋" w:cs="仿宋" w:hint="eastAsia"/>
          <w:sz w:val="32"/>
          <w:szCs w:val="32"/>
        </w:rPr>
        <w:t>（</w:t>
      </w:r>
      <w:r w:rsidRPr="00642CF8">
        <w:rPr>
          <w:rFonts w:ascii="仿宋" w:eastAsia="仿宋" w:hAnsi="仿宋" w:cs="仿宋" w:hint="eastAsia"/>
          <w:sz w:val="32"/>
          <w:szCs w:val="32"/>
        </w:rPr>
        <w:t>GB 7718-2011《食品安全国家标准 预包装食品标签通则》、GB 28050-2011《食品安全国家标准 预包装食品营养标签通则</w:t>
      </w:r>
      <w:r>
        <w:rPr>
          <w:rFonts w:ascii="仿宋" w:eastAsia="仿宋" w:hAnsi="仿宋" w:cs="仿宋" w:hint="eastAsia"/>
          <w:sz w:val="32"/>
          <w:szCs w:val="32"/>
        </w:rPr>
        <w:t>》</w:t>
      </w:r>
      <w:r w:rsidR="000F39F5">
        <w:rPr>
          <w:rFonts w:ascii="仿宋" w:eastAsia="仿宋" w:hAnsi="仿宋" w:cs="仿宋" w:hint="eastAsia"/>
          <w:sz w:val="32"/>
          <w:szCs w:val="32"/>
        </w:rPr>
        <w:t>、企业标准</w:t>
      </w:r>
      <w:r>
        <w:rPr>
          <w:rFonts w:ascii="仿宋" w:eastAsia="仿宋" w:hAnsi="仿宋" w:cs="仿宋" w:hint="eastAsia"/>
          <w:sz w:val="32"/>
          <w:szCs w:val="32"/>
        </w:rPr>
        <w:t>等）</w:t>
      </w:r>
      <w:r w:rsidRPr="00642CF8">
        <w:rPr>
          <w:rFonts w:ascii="仿宋" w:eastAsia="仿宋" w:hAnsi="仿宋" w:cs="仿宋"/>
          <w:sz w:val="32"/>
          <w:szCs w:val="32"/>
        </w:rPr>
        <w:t>的规定。</w:t>
      </w:r>
      <w:r w:rsidR="00F14910" w:rsidRPr="00F14910">
        <w:rPr>
          <w:rFonts w:ascii="仿宋" w:eastAsia="仿宋" w:hAnsi="仿宋" w:cs="仿宋" w:hint="eastAsia"/>
          <w:sz w:val="32"/>
          <w:szCs w:val="32"/>
        </w:rPr>
        <w:t>营养标签中的核心营养素包括蛋白质、脂肪、碳水化合物和钠。</w:t>
      </w:r>
    </w:p>
    <w:p w:rsidR="00966231" w:rsidRPr="00113F91" w:rsidRDefault="004073AF" w:rsidP="00966231">
      <w:pPr>
        <w:adjustRightInd w:val="0"/>
        <w:snapToGrid w:val="0"/>
        <w:spacing w:line="600" w:lineRule="exact"/>
        <w:ind w:firstLineChars="200" w:firstLine="643"/>
        <w:rPr>
          <w:rFonts w:ascii="仿宋_GB2312" w:eastAsia="仿宋_GB2312"/>
          <w:b/>
          <w:sz w:val="32"/>
          <w:szCs w:val="28"/>
        </w:rPr>
      </w:pPr>
      <w:r w:rsidRPr="004073AF">
        <w:rPr>
          <w:rFonts w:ascii="仿宋" w:eastAsia="仿宋" w:hAnsi="仿宋" w:cs="仿宋" w:hint="eastAsia"/>
          <w:b/>
          <w:sz w:val="32"/>
          <w:szCs w:val="32"/>
        </w:rPr>
        <w:t>二、</w:t>
      </w:r>
      <w:proofErr w:type="gramStart"/>
      <w:r w:rsidR="00966231" w:rsidRPr="00113F91">
        <w:rPr>
          <w:rFonts w:ascii="仿宋" w:eastAsia="仿宋" w:hAnsi="仿宋" w:cs="仿宋" w:hint="eastAsia"/>
          <w:b/>
          <w:sz w:val="32"/>
          <w:szCs w:val="32"/>
        </w:rPr>
        <w:t>恩诺沙</w:t>
      </w:r>
      <w:proofErr w:type="gramEnd"/>
      <w:r w:rsidR="00966231" w:rsidRPr="00113F91">
        <w:rPr>
          <w:rFonts w:ascii="仿宋" w:eastAsia="仿宋" w:hAnsi="仿宋" w:cs="仿宋" w:hint="eastAsia"/>
          <w:b/>
          <w:sz w:val="32"/>
          <w:szCs w:val="32"/>
        </w:rPr>
        <w:t>星（以</w:t>
      </w:r>
      <w:proofErr w:type="gramStart"/>
      <w:r w:rsidR="00966231" w:rsidRPr="00113F91">
        <w:rPr>
          <w:rFonts w:ascii="仿宋" w:eastAsia="仿宋" w:hAnsi="仿宋" w:cs="仿宋" w:hint="eastAsia"/>
          <w:b/>
          <w:sz w:val="32"/>
          <w:szCs w:val="32"/>
        </w:rPr>
        <w:t>恩诺沙</w:t>
      </w:r>
      <w:proofErr w:type="gramEnd"/>
      <w:r w:rsidR="00966231" w:rsidRPr="00113F91">
        <w:rPr>
          <w:rFonts w:ascii="仿宋" w:eastAsia="仿宋" w:hAnsi="仿宋" w:cs="仿宋" w:hint="eastAsia"/>
          <w:b/>
          <w:sz w:val="32"/>
          <w:szCs w:val="32"/>
        </w:rPr>
        <w:t>星与环丙沙星之和计）</w:t>
      </w:r>
    </w:p>
    <w:p w:rsidR="00966231" w:rsidRDefault="00966231" w:rsidP="00966231">
      <w:pPr>
        <w:widowControl/>
        <w:shd w:val="clear" w:color="auto" w:fill="FFFFFF"/>
        <w:snapToGrid w:val="0"/>
        <w:spacing w:line="590" w:lineRule="exact"/>
        <w:ind w:firstLineChars="200" w:firstLine="640"/>
        <w:rPr>
          <w:rFonts w:ascii="仿宋" w:eastAsia="仿宋" w:hAnsi="仿宋" w:cs="仿宋"/>
          <w:sz w:val="32"/>
          <w:szCs w:val="32"/>
        </w:rPr>
      </w:pPr>
      <w:proofErr w:type="gramStart"/>
      <w:r w:rsidRPr="002D248D">
        <w:rPr>
          <w:rFonts w:ascii="仿宋" w:eastAsia="仿宋" w:hAnsi="仿宋" w:cs="仿宋" w:hint="eastAsia"/>
          <w:sz w:val="32"/>
          <w:szCs w:val="32"/>
        </w:rPr>
        <w:t>恩诺沙星属于氟喹</w:t>
      </w:r>
      <w:proofErr w:type="gramEnd"/>
      <w:r w:rsidRPr="002D248D">
        <w:rPr>
          <w:rFonts w:ascii="仿宋" w:eastAsia="仿宋" w:hAnsi="仿宋" w:cs="仿宋" w:hint="eastAsia"/>
          <w:sz w:val="32"/>
          <w:szCs w:val="32"/>
        </w:rPr>
        <w:t>诺酮类药物，是一类人工合成的广谱抗菌药，用于治疗动物的皮肤感染、呼吸道感染等，是动物专属用药。《动物性食品中兽药最高残留限量》（农业部公告第235号）中规定，</w:t>
      </w:r>
      <w:proofErr w:type="gramStart"/>
      <w:r w:rsidRPr="002D248D">
        <w:rPr>
          <w:rFonts w:ascii="仿宋" w:eastAsia="仿宋" w:hAnsi="仿宋" w:cs="仿宋" w:hint="eastAsia"/>
          <w:sz w:val="32"/>
          <w:szCs w:val="32"/>
        </w:rPr>
        <w:t>恩诺沙</w:t>
      </w:r>
      <w:proofErr w:type="gramEnd"/>
      <w:r w:rsidRPr="002D248D">
        <w:rPr>
          <w:rFonts w:ascii="仿宋" w:eastAsia="仿宋" w:hAnsi="仿宋" w:cs="仿宋" w:hint="eastAsia"/>
          <w:sz w:val="32"/>
          <w:szCs w:val="32"/>
        </w:rPr>
        <w:t>星（以</w:t>
      </w:r>
      <w:proofErr w:type="gramStart"/>
      <w:r w:rsidRPr="002D248D">
        <w:rPr>
          <w:rFonts w:ascii="仿宋" w:eastAsia="仿宋" w:hAnsi="仿宋" w:cs="仿宋" w:hint="eastAsia"/>
          <w:sz w:val="32"/>
          <w:szCs w:val="32"/>
        </w:rPr>
        <w:t>恩诺沙</w:t>
      </w:r>
      <w:proofErr w:type="gramEnd"/>
      <w:r w:rsidRPr="002D248D">
        <w:rPr>
          <w:rFonts w:ascii="仿宋" w:eastAsia="仿宋" w:hAnsi="仿宋" w:cs="仿宋" w:hint="eastAsia"/>
          <w:sz w:val="32"/>
          <w:szCs w:val="32"/>
        </w:rPr>
        <w:t>星和环丙沙星之和计）可用于</w:t>
      </w:r>
      <w:r>
        <w:rPr>
          <w:rFonts w:ascii="仿宋" w:eastAsia="仿宋" w:hAnsi="仿宋" w:cs="仿宋" w:hint="eastAsia"/>
          <w:sz w:val="32"/>
          <w:szCs w:val="32"/>
        </w:rPr>
        <w:t>水产品</w:t>
      </w:r>
      <w:r w:rsidRPr="002D248D">
        <w:rPr>
          <w:rFonts w:ascii="仿宋" w:eastAsia="仿宋" w:hAnsi="仿宋" w:cs="仿宋" w:hint="eastAsia"/>
          <w:sz w:val="32"/>
          <w:szCs w:val="32"/>
        </w:rPr>
        <w:t>（在</w:t>
      </w:r>
      <w:r>
        <w:rPr>
          <w:rFonts w:ascii="仿宋" w:eastAsia="仿宋" w:hAnsi="仿宋" w:cs="仿宋" w:hint="eastAsia"/>
          <w:sz w:val="32"/>
          <w:szCs w:val="32"/>
        </w:rPr>
        <w:t>水产品</w:t>
      </w:r>
      <w:r w:rsidRPr="002D248D">
        <w:rPr>
          <w:rFonts w:ascii="仿宋" w:eastAsia="仿宋" w:hAnsi="仿宋" w:cs="仿宋" w:hint="eastAsia"/>
          <w:sz w:val="32"/>
          <w:szCs w:val="32"/>
        </w:rPr>
        <w:t>的肌肉中的最高残留限量为100μg/kg）。长期摄入检出</w:t>
      </w:r>
      <w:proofErr w:type="gramStart"/>
      <w:r w:rsidRPr="002D248D">
        <w:rPr>
          <w:rFonts w:ascii="仿宋" w:eastAsia="仿宋" w:hAnsi="仿宋" w:cs="仿宋" w:hint="eastAsia"/>
          <w:sz w:val="32"/>
          <w:szCs w:val="32"/>
        </w:rPr>
        <w:t>恩诺沙</w:t>
      </w:r>
      <w:proofErr w:type="gramEnd"/>
      <w:r w:rsidRPr="002D248D">
        <w:rPr>
          <w:rFonts w:ascii="仿宋" w:eastAsia="仿宋" w:hAnsi="仿宋" w:cs="仿宋" w:hint="eastAsia"/>
          <w:sz w:val="32"/>
          <w:szCs w:val="32"/>
        </w:rPr>
        <w:t>星的动物性食品，可能会引起轻度胃肠道刺激或不适、头痛、头晕、睡眠不良等症状，过多摄入还可能引起肝损害。</w:t>
      </w:r>
    </w:p>
    <w:p w:rsidR="004073AF" w:rsidRPr="00797BD0" w:rsidRDefault="004073AF" w:rsidP="00797BD0">
      <w:pPr>
        <w:widowControl/>
        <w:shd w:val="clear" w:color="auto" w:fill="FFFFFF"/>
        <w:snapToGrid w:val="0"/>
        <w:spacing w:line="590" w:lineRule="exact"/>
        <w:ind w:firstLineChars="200" w:firstLine="643"/>
        <w:rPr>
          <w:rFonts w:ascii="仿宋" w:eastAsia="仿宋" w:hAnsi="仿宋" w:cs="仿宋"/>
          <w:b/>
          <w:sz w:val="32"/>
          <w:szCs w:val="32"/>
        </w:rPr>
      </w:pPr>
      <w:r w:rsidRPr="00797BD0">
        <w:rPr>
          <w:rFonts w:ascii="仿宋" w:eastAsia="仿宋" w:hAnsi="仿宋" w:cs="仿宋" w:hint="eastAsia"/>
          <w:b/>
          <w:sz w:val="32"/>
          <w:szCs w:val="32"/>
        </w:rPr>
        <w:t>三、</w:t>
      </w:r>
      <w:r w:rsidR="0097109D">
        <w:rPr>
          <w:rFonts w:ascii="仿宋" w:eastAsia="仿宋" w:hAnsi="仿宋" w:cs="仿宋" w:hint="eastAsia"/>
          <w:b/>
          <w:sz w:val="32"/>
          <w:szCs w:val="32"/>
        </w:rPr>
        <w:t>菌落总数</w:t>
      </w:r>
    </w:p>
    <w:p w:rsidR="00471FC2" w:rsidRPr="00471FC2" w:rsidRDefault="00471FC2" w:rsidP="00471FC2">
      <w:pPr>
        <w:ind w:firstLineChars="200" w:firstLine="640"/>
        <w:rPr>
          <w:rFonts w:ascii="仿宋" w:eastAsia="仿宋" w:hAnsi="仿宋" w:cs="仿宋"/>
          <w:sz w:val="32"/>
          <w:szCs w:val="32"/>
        </w:rPr>
      </w:pPr>
      <w:r w:rsidRPr="00471FC2">
        <w:rPr>
          <w:rFonts w:ascii="仿宋" w:eastAsia="仿宋" w:hAnsi="仿宋" w:cs="仿宋" w:hint="eastAsia"/>
          <w:sz w:val="32"/>
          <w:szCs w:val="32"/>
        </w:rPr>
        <w:t>菌落总数是指示性微生物指标，并非致病菌指标，主要用来评价食品清洁度，反映食品在生产过程中是否符合卫生要求。</w:t>
      </w:r>
      <w:bookmarkStart w:id="0" w:name="_GoBack"/>
      <w:bookmarkEnd w:id="0"/>
      <w:r w:rsidRPr="00471FC2">
        <w:rPr>
          <w:rFonts w:ascii="仿宋" w:eastAsia="仿宋" w:hAnsi="仿宋" w:cs="仿宋" w:hint="eastAsia"/>
          <w:sz w:val="32"/>
          <w:szCs w:val="32"/>
        </w:rPr>
        <w:t>菌落总数超标可能是个别企业所使用的原辅料初始菌</w:t>
      </w:r>
      <w:r w:rsidRPr="00471FC2">
        <w:rPr>
          <w:rFonts w:ascii="仿宋" w:eastAsia="仿宋" w:hAnsi="仿宋" w:cs="仿宋" w:hint="eastAsia"/>
          <w:sz w:val="32"/>
          <w:szCs w:val="32"/>
        </w:rPr>
        <w:lastRenderedPageBreak/>
        <w:t>数较高，又未按要求严格控制生产加工过程的卫生条件，或者包装容器清洗消毒不到位，还有可能与产品包装密封不严、储运条件控制不当等有关。</w:t>
      </w:r>
    </w:p>
    <w:sectPr w:rsidR="00471FC2" w:rsidRPr="00471FC2" w:rsidSect="001001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8D" w:rsidRDefault="003B798D" w:rsidP="004073AF">
      <w:r>
        <w:separator/>
      </w:r>
    </w:p>
  </w:endnote>
  <w:endnote w:type="continuationSeparator" w:id="0">
    <w:p w:rsidR="003B798D" w:rsidRDefault="003B798D" w:rsidP="0040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8D" w:rsidRDefault="003B798D" w:rsidP="004073AF">
      <w:r>
        <w:separator/>
      </w:r>
    </w:p>
  </w:footnote>
  <w:footnote w:type="continuationSeparator" w:id="0">
    <w:p w:rsidR="003B798D" w:rsidRDefault="003B798D" w:rsidP="00407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1CE4"/>
    <w:multiLevelType w:val="hybridMultilevel"/>
    <w:tmpl w:val="44E42CF4"/>
    <w:lvl w:ilvl="0" w:tplc="95C2DBE4">
      <w:start w:val="1"/>
      <w:numFmt w:val="japaneseCounting"/>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6CA83280"/>
    <w:multiLevelType w:val="hybridMultilevel"/>
    <w:tmpl w:val="869A29EE"/>
    <w:lvl w:ilvl="0" w:tplc="5DD062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6FD92D18"/>
    <w:multiLevelType w:val="hybridMultilevel"/>
    <w:tmpl w:val="FE0E2970"/>
    <w:lvl w:ilvl="0" w:tplc="9D08CBD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1FA"/>
    <w:rsid w:val="000538B6"/>
    <w:rsid w:val="00082F81"/>
    <w:rsid w:val="000F39F5"/>
    <w:rsid w:val="00100115"/>
    <w:rsid w:val="001827BE"/>
    <w:rsid w:val="002A3ADE"/>
    <w:rsid w:val="002F13F4"/>
    <w:rsid w:val="0039346E"/>
    <w:rsid w:val="003B798D"/>
    <w:rsid w:val="0040121F"/>
    <w:rsid w:val="004073AF"/>
    <w:rsid w:val="00465167"/>
    <w:rsid w:val="00471FC2"/>
    <w:rsid w:val="004F1076"/>
    <w:rsid w:val="005579BF"/>
    <w:rsid w:val="0059438B"/>
    <w:rsid w:val="005E78D7"/>
    <w:rsid w:val="00642CF8"/>
    <w:rsid w:val="00664123"/>
    <w:rsid w:val="006713BB"/>
    <w:rsid w:val="006F31FA"/>
    <w:rsid w:val="007241F1"/>
    <w:rsid w:val="00744111"/>
    <w:rsid w:val="00793BE7"/>
    <w:rsid w:val="00797BD0"/>
    <w:rsid w:val="007C0FC2"/>
    <w:rsid w:val="008A28CE"/>
    <w:rsid w:val="00966231"/>
    <w:rsid w:val="0097109D"/>
    <w:rsid w:val="009B27A0"/>
    <w:rsid w:val="009F58B2"/>
    <w:rsid w:val="00A84947"/>
    <w:rsid w:val="00A96B8A"/>
    <w:rsid w:val="00AD21C4"/>
    <w:rsid w:val="00B37BDC"/>
    <w:rsid w:val="00B4575A"/>
    <w:rsid w:val="00B85018"/>
    <w:rsid w:val="00BB74A3"/>
    <w:rsid w:val="00BF207F"/>
    <w:rsid w:val="00CF71B2"/>
    <w:rsid w:val="00D57DD7"/>
    <w:rsid w:val="00DE05A3"/>
    <w:rsid w:val="00F14910"/>
    <w:rsid w:val="00FA4D70"/>
    <w:rsid w:val="00FD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6F31FA"/>
    <w:pPr>
      <w:ind w:firstLineChars="200" w:firstLine="420"/>
    </w:pPr>
    <w:rPr>
      <w:rFonts w:ascii="Times New Roman" w:eastAsia="宋体" w:hAnsi="Times New Roman" w:cs="Times New Roman"/>
      <w:szCs w:val="24"/>
    </w:rPr>
  </w:style>
  <w:style w:type="paragraph" w:styleId="a3">
    <w:name w:val="List Paragraph"/>
    <w:basedOn w:val="a"/>
    <w:uiPriority w:val="34"/>
    <w:qFormat/>
    <w:rsid w:val="009F58B2"/>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40121F"/>
    <w:pPr>
      <w:widowControl w:val="0"/>
      <w:jc w:val="both"/>
    </w:pPr>
    <w:rPr>
      <w:rFonts w:ascii="Calibri" w:eastAsia="宋体" w:hAnsi="Calibri" w:cs="黑体"/>
    </w:rPr>
  </w:style>
  <w:style w:type="paragraph" w:styleId="a4">
    <w:name w:val="header"/>
    <w:basedOn w:val="a"/>
    <w:link w:val="Char"/>
    <w:uiPriority w:val="99"/>
    <w:semiHidden/>
    <w:unhideWhenUsed/>
    <w:rsid w:val="00407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73AF"/>
    <w:rPr>
      <w:sz w:val="18"/>
      <w:szCs w:val="18"/>
    </w:rPr>
  </w:style>
  <w:style w:type="paragraph" w:styleId="a5">
    <w:name w:val="footer"/>
    <w:basedOn w:val="a"/>
    <w:link w:val="Char0"/>
    <w:uiPriority w:val="99"/>
    <w:semiHidden/>
    <w:unhideWhenUsed/>
    <w:rsid w:val="004073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073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钟岳峰</cp:lastModifiedBy>
  <cp:revision>34</cp:revision>
  <dcterms:created xsi:type="dcterms:W3CDTF">2019-04-17T09:00:00Z</dcterms:created>
  <dcterms:modified xsi:type="dcterms:W3CDTF">2021-04-08T02:12:00Z</dcterms:modified>
</cp:coreProperties>
</file>