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 xml:space="preserve"> </w:t>
      </w:r>
    </w:p>
    <w:p>
      <w:pPr>
        <w:rPr>
          <w:rFonts w:hint="eastAsia" w:ascii="黑体" w:hAnsi="黑体" w:eastAsia="黑体"/>
          <w:szCs w:val="32"/>
        </w:rPr>
      </w:pPr>
    </w:p>
    <w:p>
      <w:pPr>
        <w:spacing w:line="240" w:lineRule="exact"/>
        <w:rPr>
          <w:rFonts w:asciiTheme="minorEastAsia" w:hAnsiTheme="minorEastAsia" w:eastAsiaTheme="minorEastAsia"/>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ascii="仿宋" w:hAnsi="仿宋"/>
          <w:szCs w:val="32"/>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78</w:t>
      </w:r>
      <w:r>
        <w:rPr>
          <w:rFonts w:ascii="仿宋" w:hAnsi="仿宋"/>
          <w:szCs w:val="32"/>
        </w:rPr>
        <w:t>号</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GWXH" o:spid="_x0000_s1035" o:spt="202" type="#_x0000_t202" style="position:absolute;left:0pt;margin-left:-0.05pt;margin-top:104.9pt;height:22.7pt;width:63pt;mso-position-vertical-relative:page;z-index:251659264;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rFonts w:hint="eastAsia" w:ascii="方正小标宋简体" w:hAnsi="方正小标宋简体" w:eastAsia="方正小标宋简体" w:cs="方正小标宋简体"/>
          <w:sz w:val="44"/>
          <w:szCs w:val="44"/>
        </w:rPr>
        <w:pict>
          <v:line id="BTBX" o:spid="_x0000_s1034" o:spt="20" style="position:absolute;left:0pt;margin-left:-0.05pt;margin-top:342.45pt;height:0pt;width:442.2pt;mso-position-vertical-relative:page;z-index:251659264;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关于印发《2021年新会区水稻病虫害统防统治项目实施方案》的通知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为切实做好2021年我区水稻病虫害统防统治项目工作，</w:t>
      </w:r>
      <w:r>
        <w:rPr>
          <w:rFonts w:hint="eastAsia" w:ascii="仿宋" w:hAnsi="仿宋" w:cs="仿宋"/>
          <w:sz w:val="32"/>
          <w:szCs w:val="32"/>
          <w:lang w:val="en-US" w:eastAsia="zh-CN"/>
        </w:rPr>
        <w:t>我局制定了</w:t>
      </w:r>
      <w:r>
        <w:rPr>
          <w:rFonts w:hint="eastAsia" w:ascii="仿宋" w:hAnsi="仿宋" w:eastAsia="仿宋" w:cs="仿宋"/>
          <w:sz w:val="32"/>
          <w:szCs w:val="32"/>
        </w:rPr>
        <w:t>《2021年新会区水稻病虫害统防统治项目实施方案》</w:t>
      </w:r>
      <w:r>
        <w:rPr>
          <w:rFonts w:hint="eastAsia" w:ascii="仿宋" w:hAnsi="仿宋" w:cs="仿宋"/>
          <w:sz w:val="32"/>
          <w:szCs w:val="32"/>
          <w:lang w:eastAsia="zh-CN"/>
        </w:rPr>
        <w:t>，</w:t>
      </w:r>
      <w:r>
        <w:rPr>
          <w:rFonts w:hint="eastAsia" w:ascii="仿宋" w:hAnsi="仿宋" w:cs="仿宋"/>
          <w:sz w:val="32"/>
          <w:szCs w:val="32"/>
          <w:lang w:val="en-US" w:eastAsia="zh-CN"/>
        </w:rPr>
        <w:t>现</w:t>
      </w:r>
      <w:r>
        <w:rPr>
          <w:rFonts w:hint="eastAsia" w:ascii="仿宋" w:hAnsi="仿宋" w:eastAsia="仿宋" w:cs="仿宋"/>
          <w:sz w:val="32"/>
          <w:szCs w:val="32"/>
        </w:rPr>
        <w:t>印发给你们，请认真贯彻执行。同时，请有意向开展项目服务的供应商于7月12日前向我局咨询</w:t>
      </w:r>
      <w:r>
        <w:rPr>
          <w:rFonts w:hint="eastAsia" w:ascii="仿宋" w:hAnsi="仿宋" w:cs="仿宋"/>
          <w:sz w:val="32"/>
          <w:szCs w:val="32"/>
          <w:lang w:val="en-US" w:eastAsia="zh-CN"/>
        </w:rPr>
        <w:t>相关事项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江门市新会区农业农村局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2021年7月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(联系人：钟振山，联系电话：6373979）</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2021年新会区水稻病虫害统防统治项目</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为落实好中央财政农业生产救灾资金，根据《关于下达2021年中央财政农业生产救灾资金（第一批）任务清单的通知》（粤农农计〔2021〕40号）、《关于下达 2021 年中央财政农业生产救灾资金（第 1 批）任务清单及绩效目标的通知》（江农农〔2021〕179 号）和《关于调整下达2021年中央财政农业生产救灾资金（第一批）的通知》（江财农〔2021〕50号）下达的绩效指标任务和要求，借鉴我区实施相关项目的经验，为切实做好2021年我区水稻病虫害统防统治项目工作，综合</w:t>
      </w:r>
      <w:r>
        <w:rPr>
          <w:rFonts w:ascii="仿宋" w:hAnsi="仿宋" w:eastAsia="仿宋" w:cs="仿宋"/>
          <w:sz w:val="32"/>
          <w:szCs w:val="32"/>
        </w:rPr>
        <w:t>镇</w:t>
      </w:r>
      <w:r>
        <w:rPr>
          <w:rFonts w:hint="eastAsia" w:ascii="仿宋" w:hAnsi="仿宋" w:eastAsia="仿宋" w:cs="仿宋"/>
          <w:sz w:val="32"/>
          <w:szCs w:val="32"/>
        </w:rPr>
        <w:t>（</w:t>
      </w:r>
      <w:r>
        <w:rPr>
          <w:rFonts w:ascii="仿宋" w:hAnsi="仿宋" w:eastAsia="仿宋" w:cs="仿宋"/>
          <w:sz w:val="32"/>
          <w:szCs w:val="32"/>
        </w:rPr>
        <w:t>街</w:t>
      </w:r>
      <w:r>
        <w:rPr>
          <w:rFonts w:hint="eastAsia" w:ascii="仿宋" w:hAnsi="仿宋" w:eastAsia="仿宋" w:cs="仿宋"/>
          <w:sz w:val="32"/>
          <w:szCs w:val="32"/>
        </w:rPr>
        <w:t>）和</w:t>
      </w:r>
      <w:r>
        <w:rPr>
          <w:rFonts w:ascii="仿宋" w:hAnsi="仿宋" w:eastAsia="仿宋" w:cs="仿宋"/>
          <w:sz w:val="32"/>
          <w:szCs w:val="32"/>
        </w:rPr>
        <w:t>有关部门意见，</w:t>
      </w:r>
      <w:r>
        <w:rPr>
          <w:rFonts w:hint="eastAsia" w:ascii="仿宋" w:hAnsi="仿宋" w:eastAsia="仿宋" w:cs="仿宋"/>
          <w:sz w:val="32"/>
          <w:szCs w:val="32"/>
        </w:rPr>
        <w:t>结合水稻生产实际，制定本方案。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贯彻落实习近平总书记关于粮食生产的重要讲话精神和党中央、国务院关于粮食安全生产决策部署，压实防控责任，强化组织领导，突出重点区域、重大病虫和关键环节，依托专业化病虫害防治服务组织等农业经营主体，提升重大病虫应急处置能力和防治效果，实现农药使用减量增效，保障我市粮食生产安全和农产品质量安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（一）草地贪夜蛾监测与防治面积5000亩次，应急处置率100%，防控效果达到85%以上，玉米产量损失率控制在5%以下。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（二)在全域推进水稻统防统治，实施水稻重大病虫统防统治面积2万亩次以上（含）</w:t>
      </w:r>
      <w:r>
        <w:rPr>
          <w:rFonts w:hint="eastAsia" w:ascii="仿宋" w:hAnsi="仿宋" w:eastAsia="仿宋" w:cs="仿宋"/>
          <w:color w:val="000000"/>
          <w:kern w:val="0"/>
          <w:sz w:val="32"/>
          <w:szCs w:val="32"/>
        </w:rPr>
        <w:t>，水稻病虫危害损失率控制在5%以下，农药利用率达到40%以上，农药包装废弃物回收率提升</w:t>
      </w:r>
      <w:r>
        <w:rPr>
          <w:rFonts w:hint="eastAsia" w:ascii="仿宋" w:hAnsi="仿宋" w:eastAsia="仿宋" w:cs="仿宋"/>
          <w:sz w:val="32"/>
          <w:szCs w:val="32"/>
        </w:rPr>
        <w:t>，其中：本项目实施区域的农药包装废弃物回收率100%</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三、实施内容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（一)开展草地贪夜蛾监测调查、应急防控与培训。</w:t>
      </w:r>
      <w:r>
        <w:rPr>
          <w:rFonts w:hint="eastAsia" w:ascii="仿宋" w:hAnsi="仿宋" w:eastAsia="仿宋" w:cs="仿宋"/>
          <w:color w:val="000000"/>
          <w:kern w:val="0"/>
          <w:sz w:val="32"/>
          <w:szCs w:val="32"/>
        </w:rPr>
        <w:t>安排精干专业技术人员开展严密普查监测，重点排查玉米、甘蔗和水稻等作物种植区域该虫发生危害情况，全面掌握草地贪夜蛾入侵区域和发生危害情况，确保草地贪夜蛾监测与防治面积0.5万亩次，应急处置率100%，防控效果达到85%以上，玉米产量损失率控制在5%以下，全区技术指导和培训人数30人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（二）全域推进水稻统防统治。</w:t>
      </w:r>
      <w:r>
        <w:rPr>
          <w:rFonts w:hint="eastAsia" w:ascii="仿宋" w:hAnsi="仿宋" w:eastAsia="仿宋" w:cs="仿宋"/>
          <w:color w:val="000000"/>
          <w:kern w:val="0"/>
          <w:sz w:val="32"/>
          <w:szCs w:val="32"/>
        </w:rPr>
        <w:t>扶持发展病虫害专业化防治组织，使用植保无人机等先进植保器械推进水稻病虫统防统治，提升病虫害防治效果。全域推进</w:t>
      </w:r>
      <w:r>
        <w:rPr>
          <w:rFonts w:hint="eastAsia" w:ascii="仿宋" w:hAnsi="仿宋" w:eastAsia="仿宋" w:cs="仿宋"/>
          <w:sz w:val="32"/>
          <w:szCs w:val="32"/>
        </w:rPr>
        <w:t>水稻重大病虫统防统治面积2万亩次以上（含）</w:t>
      </w:r>
      <w:r>
        <w:rPr>
          <w:rFonts w:hint="eastAsia" w:ascii="仿宋" w:hAnsi="仿宋" w:eastAsia="仿宋" w:cs="仿宋"/>
          <w:color w:val="000000"/>
          <w:kern w:val="0"/>
          <w:sz w:val="32"/>
          <w:szCs w:val="32"/>
        </w:rPr>
        <w:t>，采取“项目补一点、农户出一点、企业让一点”的方式，广泛发动种植户参与统防统治作业。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(三)推进农药减量增效。</w:t>
      </w:r>
      <w:r>
        <w:rPr>
          <w:rFonts w:hint="eastAsia" w:ascii="仿宋" w:hAnsi="仿宋" w:eastAsia="仿宋" w:cs="仿宋"/>
          <w:color w:val="000000"/>
          <w:kern w:val="0"/>
          <w:sz w:val="32"/>
          <w:szCs w:val="32"/>
        </w:rPr>
        <w:t>持续推进农药使用减量增效是国家和省“十四五”规划中重要政策任务。加强科学合理用药技术指导，大力推广新型高效环保剂型农药，以及纳米农药、减量助剂等有效减药增效的技术和机械，将水稻农药利用率提高40%以上，促进农药使用减量增效。</w:t>
      </w:r>
    </w:p>
    <w:p>
      <w:pPr>
        <w:keepNext w:val="0"/>
        <w:keepLines w:val="0"/>
        <w:pageBreakBefore w:val="0"/>
        <w:kinsoku/>
        <w:wordWrap/>
        <w:overflowPunct/>
        <w:topLinePunct w:val="0"/>
        <w:autoSpaceDE/>
        <w:autoSpaceDN/>
        <w:bidi w:val="0"/>
        <w:adjustRightInd/>
        <w:snapToGrid/>
        <w:spacing w:line="560" w:lineRule="exact"/>
        <w:ind w:left="0" w:leftChars="0" w:firstLine="480" w:firstLineChars="15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（四）实施包装废弃物回收。</w:t>
      </w:r>
      <w:r>
        <w:rPr>
          <w:rFonts w:hint="eastAsia" w:ascii="仿宋" w:hAnsi="仿宋" w:eastAsia="仿宋" w:cs="仿宋"/>
          <w:color w:val="000000"/>
          <w:kern w:val="0"/>
          <w:sz w:val="32"/>
          <w:szCs w:val="32"/>
        </w:rPr>
        <w:t>按照省农药包装废弃物回收处理实施方案要求，加强调查监测农药包装废弃物产生、回收情况，准确统计本辖区农药使用量，及时统计汇总农药包装废弃物回收量，鼓励和支持对农药包装废弃物进行资源化利用。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四、实施期限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2021晚造（2021年7月至2021年11月）。其中：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（一）申报时间：</w:t>
      </w:r>
      <w:r>
        <w:rPr>
          <w:rFonts w:hint="eastAsia" w:ascii="仿宋" w:hAnsi="仿宋" w:eastAsia="仿宋" w:cs="仿宋"/>
          <w:sz w:val="32"/>
          <w:szCs w:val="32"/>
        </w:rPr>
        <w:t>2021年7月10日起至2021年7月30日止（含公示的7个工作日）。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000000"/>
          <w:kern w:val="0"/>
          <w:sz w:val="32"/>
          <w:szCs w:val="32"/>
        </w:rPr>
      </w:pPr>
      <w:r>
        <w:rPr>
          <w:rFonts w:hint="eastAsia" w:ascii="楷体" w:hAnsi="楷体" w:eastAsia="楷体" w:cs="楷体"/>
          <w:color w:val="000000"/>
          <w:kern w:val="0"/>
          <w:sz w:val="32"/>
          <w:szCs w:val="32"/>
        </w:rPr>
        <w:t>（二）中标供应商实施时间：</w:t>
      </w:r>
      <w:r>
        <w:rPr>
          <w:rFonts w:hint="eastAsia" w:ascii="仿宋" w:hAnsi="仿宋" w:eastAsia="仿宋" w:cs="仿宋"/>
          <w:color w:val="000000"/>
          <w:kern w:val="0"/>
          <w:sz w:val="32"/>
          <w:szCs w:val="32"/>
        </w:rPr>
        <w:t>2021年7月至2021年11月。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五、实施区域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（一）草地贪夜蛾监测与防治实施区域的确定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rPr>
        <w:t>1、各镇（街）农业农村办公室[下称镇（街）农办]遴选2021年晚造</w:t>
      </w:r>
      <w:r>
        <w:rPr>
          <w:rFonts w:hint="eastAsia" w:ascii="仿宋" w:hAnsi="仿宋" w:eastAsia="仿宋" w:cs="仿宋"/>
          <w:color w:val="000000"/>
          <w:kern w:val="0"/>
          <w:sz w:val="32"/>
          <w:szCs w:val="32"/>
        </w:rPr>
        <w:t>玉米、甘蔗和水稻等作物种植区域</w:t>
      </w:r>
      <w:r>
        <w:rPr>
          <w:rFonts w:hint="eastAsia" w:ascii="仿宋" w:hAnsi="仿宋" w:eastAsia="仿宋" w:cs="仿宋"/>
          <w:sz w:val="32"/>
          <w:szCs w:val="32"/>
        </w:rPr>
        <w:t>，做好《2021年新会区草地贪夜蛾监测与防治项目登记清册》登记工作（详见附件1），</w:t>
      </w:r>
      <w:r>
        <w:rPr>
          <w:rFonts w:hint="eastAsia" w:ascii="仿宋" w:hAnsi="仿宋" w:eastAsia="仿宋" w:cs="仿宋"/>
          <w:b/>
          <w:bCs/>
          <w:sz w:val="32"/>
          <w:szCs w:val="32"/>
        </w:rPr>
        <w:t>全区2021年晚造1亩以上玉米种植面积全部登记</w:t>
      </w:r>
      <w:r>
        <w:rPr>
          <w:rFonts w:hint="eastAsia" w:ascii="仿宋" w:hAnsi="仿宋" w:eastAsia="仿宋" w:cs="仿宋"/>
          <w:sz w:val="32"/>
          <w:szCs w:val="32"/>
        </w:rPr>
        <w:t>；经所在村属地公示（7个工作日）无异议后，</w:t>
      </w:r>
      <w:r>
        <w:rPr>
          <w:rFonts w:hint="eastAsia" w:ascii="仿宋" w:hAnsi="仿宋" w:eastAsia="仿宋" w:cs="仿宋"/>
          <w:sz w:val="32"/>
          <w:szCs w:val="32"/>
          <w:highlight w:val="none"/>
        </w:rPr>
        <w:t>向区农业农村局申报（含附件1、2、</w:t>
      </w:r>
      <w:r>
        <w:rPr>
          <w:rFonts w:ascii="仿宋" w:hAnsi="仿宋" w:eastAsia="仿宋" w:cs="仿宋"/>
          <w:sz w:val="32"/>
          <w:szCs w:val="32"/>
          <w:highlight w:val="none"/>
        </w:rPr>
        <w:t>5</w:t>
      </w:r>
      <w:r>
        <w:rPr>
          <w:rFonts w:hint="eastAsia" w:ascii="仿宋" w:hAnsi="仿宋" w:eastAsia="仿宋" w:cs="仿宋"/>
          <w:sz w:val="32"/>
          <w:szCs w:val="32"/>
          <w:highlight w:val="none"/>
        </w:rPr>
        <w:t>以及</w:t>
      </w:r>
      <w:r>
        <w:rPr>
          <w:rFonts w:ascii="仿宋" w:hAnsi="仿宋" w:eastAsia="仿宋" w:cs="仿宋"/>
          <w:sz w:val="32"/>
          <w:szCs w:val="32"/>
          <w:highlight w:val="none"/>
        </w:rPr>
        <w:t>公示照片</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2、区农业农村局依据镇（街）农办的申报情况，以及本项目采购中标的草地贪夜蛾监测与防治面积结果，按申报面积，由大到小确定全区的实施区域，在册的玉米种植面积100%确定</w:t>
      </w:r>
      <w:r>
        <w:rPr>
          <w:rFonts w:hint="eastAsia" w:ascii="仿宋" w:hAnsi="仿宋" w:eastAsia="仿宋" w:cs="仿宋"/>
          <w:b/>
          <w:bCs/>
          <w:sz w:val="32"/>
          <w:szCs w:val="32"/>
        </w:rPr>
        <w:t>。</w:t>
      </w:r>
      <w:r>
        <w:rPr>
          <w:rFonts w:hint="eastAsia" w:ascii="仿宋" w:hAnsi="仿宋" w:eastAsia="仿宋" w:cs="仿宋"/>
          <w:sz w:val="32"/>
          <w:szCs w:val="32"/>
        </w:rPr>
        <w:t>并在新会区政府信息公开平台公开公示确定结果（7个工作日）。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 w:hAnsi="楷体" w:eastAsia="楷体" w:cs="楷体"/>
          <w:color w:val="000000"/>
          <w:kern w:val="0"/>
          <w:sz w:val="32"/>
          <w:szCs w:val="32"/>
        </w:rPr>
      </w:pPr>
      <w:r>
        <w:rPr>
          <w:rFonts w:hint="eastAsia" w:ascii="仿宋" w:hAnsi="仿宋" w:eastAsia="仿宋" w:cs="仿宋"/>
          <w:sz w:val="32"/>
          <w:szCs w:val="32"/>
        </w:rPr>
        <w:t xml:space="preserve">    </w:t>
      </w:r>
      <w:r>
        <w:rPr>
          <w:rFonts w:hint="eastAsia" w:ascii="楷体" w:hAnsi="楷体" w:eastAsia="楷体" w:cs="楷体"/>
          <w:color w:val="000000"/>
          <w:kern w:val="0"/>
          <w:sz w:val="32"/>
          <w:szCs w:val="32"/>
        </w:rPr>
        <w:t>（二）水稻病虫统防统治实施区域的确定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rPr>
        <w:t>1、各镇（街）农业农村办公室[下称镇（街）农办]</w:t>
      </w:r>
      <w:r>
        <w:rPr>
          <w:rFonts w:hint="eastAsia" w:ascii="仿宋" w:hAnsi="仿宋" w:eastAsia="仿宋" w:cs="仿宋"/>
          <w:b/>
          <w:bCs/>
          <w:sz w:val="32"/>
          <w:szCs w:val="32"/>
        </w:rPr>
        <w:t>以整村推进和优先扶持今年挖潜新增水稻等方式</w:t>
      </w:r>
      <w:r>
        <w:rPr>
          <w:rFonts w:hint="eastAsia" w:ascii="仿宋" w:hAnsi="仿宋" w:eastAsia="仿宋" w:cs="仿宋"/>
          <w:sz w:val="32"/>
          <w:szCs w:val="32"/>
        </w:rPr>
        <w:t>，遴选2021年晚造水稻、种植积极性高、面积较大，适合开展本项目的若干个实施村，做好《2021年新会区水稻病虫害统防统治项目登记清册》登记工作（详见附件3），</w:t>
      </w:r>
      <w:r>
        <w:rPr>
          <w:rFonts w:hint="eastAsia" w:ascii="仿宋" w:hAnsi="仿宋" w:eastAsia="仿宋" w:cs="仿宋"/>
          <w:b/>
          <w:bCs/>
          <w:sz w:val="32"/>
          <w:szCs w:val="32"/>
        </w:rPr>
        <w:t>有按《新会区粮食生产安全实施方案》要求，今年挖潜新增晚造水稻种植面积的优先登记</w:t>
      </w:r>
      <w:r>
        <w:rPr>
          <w:rFonts w:hint="eastAsia" w:ascii="仿宋" w:hAnsi="仿宋" w:eastAsia="仿宋" w:cs="仿宋"/>
          <w:sz w:val="32"/>
          <w:szCs w:val="32"/>
        </w:rPr>
        <w:t>；经所在村属地公示（7个工作日）无异议后，</w:t>
      </w:r>
      <w:r>
        <w:rPr>
          <w:rFonts w:hint="eastAsia" w:ascii="仿宋" w:hAnsi="仿宋" w:eastAsia="仿宋" w:cs="仿宋"/>
          <w:sz w:val="32"/>
          <w:szCs w:val="32"/>
          <w:highlight w:val="none"/>
        </w:rPr>
        <w:t>向区农业农村局申报（含附件3、4、</w:t>
      </w:r>
      <w:r>
        <w:rPr>
          <w:rFonts w:ascii="仿宋" w:hAnsi="仿宋" w:eastAsia="仿宋" w:cs="仿宋"/>
          <w:sz w:val="32"/>
          <w:szCs w:val="32"/>
          <w:highlight w:val="none"/>
        </w:rPr>
        <w:t>5</w:t>
      </w:r>
      <w:r>
        <w:rPr>
          <w:rFonts w:hint="eastAsia" w:ascii="仿宋" w:hAnsi="仿宋" w:eastAsia="仿宋" w:cs="仿宋"/>
          <w:sz w:val="32"/>
          <w:szCs w:val="32"/>
          <w:highlight w:val="none"/>
        </w:rPr>
        <w:t>以及</w:t>
      </w:r>
      <w:r>
        <w:rPr>
          <w:rFonts w:ascii="仿宋" w:hAnsi="仿宋" w:eastAsia="仿宋" w:cs="仿宋"/>
          <w:sz w:val="32"/>
          <w:szCs w:val="32"/>
          <w:highlight w:val="none"/>
        </w:rPr>
        <w:t>公示照片</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2、区农业农村局依据镇（街）农办的申报情况，以及本项目采购中标的水稻病虫害统防统治面积结果，按申报整村推进水稻病虫害统防统治面积，由大到小确定全区的实施区域，</w:t>
      </w:r>
      <w:r>
        <w:rPr>
          <w:rFonts w:hint="eastAsia" w:ascii="仿宋" w:hAnsi="仿宋" w:eastAsia="仿宋" w:cs="仿宋"/>
          <w:b/>
          <w:bCs/>
          <w:sz w:val="32"/>
          <w:szCs w:val="32"/>
        </w:rPr>
        <w:t>有按《新会区粮食生产安全实施方案》要求，今年挖潜新增晚造水稻种植面积的优先安排。</w:t>
      </w:r>
      <w:r>
        <w:rPr>
          <w:rFonts w:hint="eastAsia" w:ascii="仿宋" w:hAnsi="仿宋" w:eastAsia="仿宋" w:cs="仿宋"/>
          <w:sz w:val="32"/>
          <w:szCs w:val="32"/>
        </w:rPr>
        <w:t>并在新会区政府信息公开平台公开公示确定结果（7个工作日）。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六、实施主体、方式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（一）实施主体：</w:t>
      </w:r>
      <w:r>
        <w:rPr>
          <w:rFonts w:hint="eastAsia" w:ascii="仿宋" w:hAnsi="仿宋" w:eastAsia="仿宋" w:cs="仿宋"/>
          <w:sz w:val="32"/>
          <w:szCs w:val="32"/>
        </w:rPr>
        <w:t>各镇（街）农办。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（二）实施方式：</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1、明确参与农户。参与农户是指《2021年新会区草地贪夜蛾监测与防治项目登记清册》或《2021年新会区水稻病虫害统防统治项目登记清册》的参与农户。</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2、社会化服务推进。由区农业农村局按照《农作物病虫害专业化防治服务管理办法》和政府采购管理规定，确定一个中标供应商，按《本实施方案》和《合同》要求，开展和完成统防统治的社会化服务。主要包括：</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1）在晚造对《2021年新会区草地贪夜蛾监测与防治项目登记清册》的草地贪夜蛾监测与防治实施区域，开展和完成草地贪夜蛾监测调查、应急防控与培训；并参照去年的做法，对《2021年新会区草地贪夜蛾监测与防治项目登记清册》的参与农户物化补助不少于（含）5000亩次的草地贪夜蛾防治药剂，每亩防治药剂补助不超4亩次（含），开展草地贪夜蛾防治，其中：在册的玉米种植面积100%补助；</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2）在晚造水稻病虫害防控时期，对《2021年新会区水稻病虫害统防统治项目登记清册》的参与农户的水稻病虫害统防统治面积开展不少于2万亩次的无人机飞防作业，推进专业化统防统治；水稻病虫实施区域的飞防作业次数2次，如出现农户拒绝飞防作业或因不符合无人机飞防作业情形之一的，由中标供应商和实施主体，按参与农户面积由大到小顺延进行社会化服务，全面完成中标防控面积。</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（3）强化技术指导服务，举办不少于2期、培训人数不少于30人次（含）的技术培训班或现场观摩会；</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（4）同步推进农药减量增效和实施包装废弃物回收，提升资源化利用率；</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（5）选择三个实施村各标竖1个示范牌；</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（6）收集项目资料（含照片），建立项目台账；</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（7）开展满意度调查和完成总结审计验收等。</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3、签订实施协议。实施主体与实施村（含参与农户）</w:t>
      </w:r>
      <w:bookmarkStart w:id="0" w:name="_GoBack"/>
      <w:bookmarkEnd w:id="0"/>
      <w:r>
        <w:rPr>
          <w:rFonts w:hint="eastAsia" w:ascii="仿宋" w:hAnsi="仿宋" w:eastAsia="仿宋" w:cs="仿宋"/>
          <w:sz w:val="32"/>
          <w:szCs w:val="32"/>
        </w:rPr>
        <w:t>签订《2021年新会区水稻病虫害统防统治项目实施协议》（详见附件5）</w:t>
      </w:r>
      <w:r>
        <w:rPr>
          <w:rFonts w:hint="eastAsia" w:ascii="仿宋" w:hAnsi="仿宋" w:eastAsia="仿宋" w:cs="仿宋"/>
          <w:sz w:val="32"/>
          <w:szCs w:val="32"/>
        </w:rPr>
        <w:t>，积极配合中标供应商推进项目建设。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七、补助方式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（一）补助资金规模。</w:t>
      </w:r>
      <w:r>
        <w:rPr>
          <w:rFonts w:hint="eastAsia" w:ascii="仿宋" w:hAnsi="仿宋" w:eastAsia="仿宋" w:cs="仿宋"/>
          <w:sz w:val="32"/>
          <w:szCs w:val="32"/>
        </w:rPr>
        <w:t>本项目补助资金为2021 年中央财政农业生产救灾资金（第 1 批），共33.6万元。其中：开展草地贪夜蛾监测调查、应急防控与培训资金3.36万元；全域推进水稻统防统治资金30万元。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（二）补助方式。</w:t>
      </w:r>
      <w:r>
        <w:rPr>
          <w:rFonts w:hint="eastAsia" w:ascii="仿宋" w:hAnsi="仿宋" w:eastAsia="仿宋" w:cs="仿宋"/>
          <w:sz w:val="32"/>
          <w:szCs w:val="32"/>
        </w:rPr>
        <w:t>根据《中央财政农业生产救灾及特大防汛抗旱补助资金管理办法》（财农〔2017〕91号）规定，以及本项目的《社会化服务合同》条款和进度，由区农业农村局报请区财政局将补助资金补助给中标供应商，开展和完成有关社会化服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八、防治药剂</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围绕“农药减量增效”的原则，草地贪夜蛾的物化补助防治药剂由中标供应商与区农业农村局和实施主体共同商定，费用由中标供应商承担；水稻病虫害防控药剂由中标供应商与实施村（含参与农户）商定，费用由参与农户承担，中标供应商可适当让一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九、其它事宜</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（一）请各镇（街）农办于7月30日前，通过“OA”将申报材料（含附件1、2、3、4、5）扫描件和电子文档，以及公示照片上报我局种植业管理股。</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ascii="仿宋" w:hAnsi="仿宋" w:eastAsia="仿宋" w:cs="仿宋"/>
          <w:sz w:val="32"/>
          <w:szCs w:val="32"/>
        </w:rPr>
      </w:pPr>
      <w:r>
        <w:rPr>
          <w:rFonts w:hint="eastAsia" w:ascii="仿宋" w:hAnsi="仿宋" w:eastAsia="仿宋" w:cs="仿宋"/>
          <w:sz w:val="32"/>
          <w:szCs w:val="32"/>
        </w:rPr>
        <w:t>（二）对不申报的镇（街），我局不予支持开展本项目。</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（三）中标供应商按合同要求和有关技术措施开展、完成项目建设。</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ascii="仿宋" w:hAnsi="仿宋" w:eastAsia="仿宋" w:cs="仿宋"/>
          <w:sz w:val="32"/>
          <w:szCs w:val="32"/>
        </w:rPr>
      </w:pPr>
      <w:r>
        <w:rPr>
          <w:rFonts w:hint="eastAsia" w:ascii="仿宋" w:hAnsi="仿宋" w:eastAsia="仿宋" w:cs="仿宋"/>
          <w:sz w:val="32"/>
          <w:szCs w:val="32"/>
        </w:rPr>
        <w:t>（四）各</w:t>
      </w:r>
      <w:r>
        <w:rPr>
          <w:rFonts w:hint="eastAsia" w:ascii="仿宋" w:hAnsi="仿宋" w:eastAsia="仿宋" w:cs="仿宋"/>
          <w:color w:val="000000"/>
          <w:kern w:val="0"/>
          <w:sz w:val="32"/>
          <w:szCs w:val="32"/>
        </w:rPr>
        <w:t>镇（街）</w:t>
      </w:r>
      <w:r>
        <w:rPr>
          <w:rFonts w:hint="eastAsia" w:ascii="仿宋" w:hAnsi="仿宋" w:eastAsia="仿宋" w:cs="仿宋"/>
          <w:sz w:val="32"/>
          <w:szCs w:val="32"/>
        </w:rPr>
        <w:t>农办做好</w:t>
      </w:r>
      <w:r>
        <w:rPr>
          <w:rFonts w:hint="eastAsia" w:ascii="仿宋" w:hAnsi="仿宋" w:eastAsia="仿宋" w:cs="仿宋"/>
          <w:color w:val="000000"/>
          <w:kern w:val="0"/>
          <w:sz w:val="32"/>
          <w:szCs w:val="32"/>
        </w:rPr>
        <w:t>将本辖区</w:t>
      </w:r>
      <w:r>
        <w:rPr>
          <w:rFonts w:hint="eastAsia" w:ascii="仿宋" w:hAnsi="仿宋" w:eastAsia="仿宋" w:cs="仿宋"/>
          <w:sz w:val="32"/>
          <w:szCs w:val="32"/>
        </w:rPr>
        <w:t>的</w:t>
      </w:r>
      <w:r>
        <w:rPr>
          <w:rFonts w:hint="eastAsia" w:ascii="仿宋" w:hAnsi="仿宋" w:eastAsia="仿宋" w:cs="仿宋"/>
          <w:color w:val="000000"/>
          <w:kern w:val="0"/>
          <w:sz w:val="32"/>
          <w:szCs w:val="32"/>
        </w:rPr>
        <w:t>水稻病虫危害损失率、农药利用率和农药包装废弃物回收率提升等情况调查（附件6），</w:t>
      </w:r>
      <w:r>
        <w:rPr>
          <w:rFonts w:hint="eastAsia" w:ascii="仿宋" w:hAnsi="仿宋" w:eastAsia="仿宋" w:cs="仿宋"/>
          <w:sz w:val="32"/>
          <w:szCs w:val="32"/>
        </w:rPr>
        <w:t>于</w:t>
      </w:r>
      <w:r>
        <w:rPr>
          <w:rFonts w:hint="eastAsia" w:ascii="仿宋" w:hAnsi="仿宋" w:eastAsia="仿宋" w:cs="仿宋"/>
          <w:color w:val="000000"/>
          <w:kern w:val="0"/>
          <w:sz w:val="32"/>
          <w:szCs w:val="32"/>
        </w:rPr>
        <w:t>2021年10月中旬前，</w:t>
      </w:r>
      <w:r>
        <w:rPr>
          <w:rFonts w:hint="eastAsia" w:ascii="仿宋" w:hAnsi="仿宋" w:eastAsia="仿宋" w:cs="仿宋"/>
          <w:sz w:val="32"/>
          <w:szCs w:val="32"/>
        </w:rPr>
        <w:t>通过“OA”将扫描件和电子文档，以及公示照片上报我局种植业管理股。</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五）做好验收。中标供应商于2021年10月中旬前完成项目，向区农业农村局提出验收申请，组织种植和会计专业类，具中级（含）以上专业技术职称资格的3名专家进行项目验收，验收合格后持相关报账材料到区农业农村局报账。</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（六）区农业农村局按上级文件有关要求做好项目推进、监管和建设等情况报送工作。</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left="1920" w:leftChars="200" w:hanging="1280" w:hangingChars="400"/>
        <w:jc w:val="both"/>
        <w:textAlignment w:val="auto"/>
        <w:rPr>
          <w:rFonts w:ascii="仿宋" w:hAnsi="仿宋" w:eastAsia="仿宋" w:cs="仿宋"/>
          <w:sz w:val="32"/>
          <w:szCs w:val="32"/>
        </w:rPr>
      </w:pPr>
      <w:r>
        <w:rPr>
          <w:rFonts w:hint="eastAsia" w:ascii="仿宋" w:hAnsi="仿宋" w:eastAsia="仿宋" w:cs="仿宋"/>
          <w:sz w:val="32"/>
          <w:szCs w:val="32"/>
        </w:rPr>
        <w:t>附件：1.2021年新会区草地贪夜蛾监测与防治项目登记清册</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both"/>
        <w:textAlignment w:val="auto"/>
        <w:rPr>
          <w:rFonts w:ascii="仿宋" w:hAnsi="仿宋" w:eastAsia="仿宋" w:cs="仿宋"/>
          <w:sz w:val="32"/>
          <w:szCs w:val="32"/>
        </w:rPr>
      </w:pPr>
      <w:r>
        <w:rPr>
          <w:rFonts w:hint="eastAsia" w:ascii="仿宋" w:hAnsi="仿宋" w:eastAsia="仿宋" w:cs="仿宋"/>
          <w:sz w:val="32"/>
          <w:szCs w:val="32"/>
        </w:rPr>
        <w:t>2.2021年新会区草地贪夜蛾监测与防治项目申报表</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both"/>
        <w:textAlignment w:val="auto"/>
        <w:rPr>
          <w:rFonts w:ascii="仿宋" w:hAnsi="仿宋" w:eastAsia="仿宋" w:cs="仿宋"/>
          <w:sz w:val="32"/>
          <w:szCs w:val="32"/>
        </w:rPr>
      </w:pPr>
      <w:r>
        <w:rPr>
          <w:rFonts w:hint="eastAsia" w:ascii="仿宋" w:hAnsi="仿宋" w:eastAsia="仿宋" w:cs="仿宋"/>
          <w:sz w:val="32"/>
          <w:szCs w:val="32"/>
        </w:rPr>
        <w:t>3.2021年新会区水稻病虫害统防统治项目登记清册</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both"/>
        <w:textAlignment w:val="auto"/>
        <w:rPr>
          <w:rFonts w:ascii="仿宋" w:hAnsi="仿宋" w:eastAsia="仿宋" w:cs="仿宋"/>
          <w:sz w:val="32"/>
          <w:szCs w:val="32"/>
        </w:rPr>
      </w:pPr>
      <w:r>
        <w:rPr>
          <w:rFonts w:hint="eastAsia" w:ascii="仿宋" w:hAnsi="仿宋" w:eastAsia="仿宋" w:cs="仿宋"/>
          <w:sz w:val="32"/>
          <w:szCs w:val="32"/>
        </w:rPr>
        <w:t>4.2021年新会区水稻病虫害统防统治项目申报表</w:t>
      </w:r>
    </w:p>
    <w:p>
      <w:pPr>
        <w:keepNext w:val="0"/>
        <w:keepLines w:val="0"/>
        <w:pageBreakBefore w:val="0"/>
        <w:kinsoku/>
        <w:wordWrap/>
        <w:overflowPunct/>
        <w:topLinePunct w:val="0"/>
        <w:autoSpaceDE/>
        <w:autoSpaceDN/>
        <w:bidi w:val="0"/>
        <w:adjustRightInd/>
        <w:snapToGrid/>
        <w:spacing w:line="560" w:lineRule="exact"/>
        <w:ind w:left="1920" w:leftChars="500" w:hanging="320" w:hangingChars="100"/>
        <w:jc w:val="both"/>
        <w:textAlignment w:val="auto"/>
        <w:rPr>
          <w:rFonts w:ascii="仿宋" w:hAnsi="仿宋" w:eastAsia="仿宋" w:cs="仿宋"/>
          <w:sz w:val="32"/>
          <w:szCs w:val="32"/>
        </w:rPr>
      </w:pPr>
      <w:r>
        <w:rPr>
          <w:rFonts w:hint="eastAsia" w:ascii="仿宋" w:hAnsi="仿宋" w:eastAsia="仿宋" w:cs="仿宋"/>
          <w:sz w:val="32"/>
          <w:szCs w:val="32"/>
        </w:rPr>
        <w:t>5.2021年新会区水稻病虫害统防统治项目实施协议（参考样本）</w:t>
      </w:r>
    </w:p>
    <w:p>
      <w:pPr>
        <w:pStyle w:val="3"/>
        <w:keepNext w:val="0"/>
        <w:keepLines w:val="0"/>
        <w:pageBreakBefore w:val="0"/>
        <w:kinsoku/>
        <w:wordWrap/>
        <w:overflowPunct/>
        <w:topLinePunct w:val="0"/>
        <w:autoSpaceDE/>
        <w:autoSpaceDN/>
        <w:bidi w:val="0"/>
        <w:adjustRightInd/>
        <w:snapToGrid/>
        <w:spacing w:line="560" w:lineRule="exact"/>
        <w:ind w:left="1920" w:leftChars="500" w:hanging="320" w:hangingChars="100"/>
        <w:jc w:val="both"/>
        <w:textAlignment w:val="auto"/>
        <w:rPr>
          <w:rFonts w:ascii="仿宋" w:hAnsi="仿宋" w:eastAsia="仿宋" w:cs="仿宋"/>
          <w:sz w:val="32"/>
          <w:szCs w:val="32"/>
        </w:rPr>
      </w:pPr>
      <w:r>
        <w:rPr>
          <w:rFonts w:hint="eastAsia" w:ascii="仿宋" w:hAnsi="仿宋" w:eastAsia="仿宋" w:cs="仿宋"/>
          <w:sz w:val="32"/>
          <w:szCs w:val="32"/>
        </w:rPr>
        <w:t>6.2021年新会区水稻病虫危害损失率、农药利用率和农药包装废弃物回收率提升情况调查表</w:t>
      </w:r>
    </w:p>
    <w:p>
      <w:pPr>
        <w:pStyle w:val="3"/>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仿宋" w:hAnsi="仿宋" w:eastAsia="仿宋" w:cs="仿宋"/>
          <w:sz w:val="32"/>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pStyle w:val="3"/>
        <w:spacing w:line="500" w:lineRule="exact"/>
        <w:rPr>
          <w:rFonts w:ascii="仿宋" w:hAnsi="仿宋" w:eastAsia="仿宋" w:cs="仿宋"/>
          <w:sz w:val="28"/>
          <w:szCs w:val="32"/>
        </w:rPr>
      </w:pPr>
    </w:p>
    <w:p>
      <w:pPr>
        <w:adjustRightInd w:val="0"/>
        <w:snapToGrid w:val="0"/>
        <w:spacing w:line="590" w:lineRule="exact"/>
        <w:rPr>
          <w:rFonts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2021年新会区草地贪夜蛾监测</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与防治项目登记清册</w:t>
      </w:r>
    </w:p>
    <w:tbl>
      <w:tblPr>
        <w:tblStyle w:val="10"/>
        <w:tblpPr w:leftFromText="180" w:rightFromText="180" w:vertAnchor="text" w:horzAnchor="page" w:tblpX="1890" w:tblpY="911"/>
        <w:tblOverlap w:val="never"/>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485"/>
        <w:gridCol w:w="690"/>
        <w:gridCol w:w="660"/>
        <w:gridCol w:w="705"/>
        <w:gridCol w:w="945"/>
        <w:gridCol w:w="208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20" w:type="dxa"/>
            <w:vMerge w:val="restart"/>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485" w:type="dxa"/>
            <w:vMerge w:val="restart"/>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参与农户姓名或名称</w:t>
            </w:r>
          </w:p>
        </w:tc>
        <w:tc>
          <w:tcPr>
            <w:tcW w:w="3000" w:type="dxa"/>
            <w:gridSpan w:val="4"/>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2021年晚造种植面积（亩）</w:t>
            </w:r>
          </w:p>
        </w:tc>
        <w:tc>
          <w:tcPr>
            <w:tcW w:w="2085" w:type="dxa"/>
            <w:vMerge w:val="restart"/>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是否同意由村委会与镇（街）农办签订实施协议</w:t>
            </w:r>
          </w:p>
        </w:tc>
        <w:tc>
          <w:tcPr>
            <w:tcW w:w="1380" w:type="dxa"/>
            <w:vMerge w:val="restart"/>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b/>
                <w:bCs/>
                <w:kern w:val="0"/>
                <w:sz w:val="24"/>
                <w:szCs w:val="24"/>
              </w:rPr>
            </w:pPr>
            <w:r>
              <w:rPr>
                <w:rFonts w:hint="eastAsia" w:ascii="仿宋" w:hAnsi="仿宋" w:eastAsia="仿宋" w:cs="仿宋"/>
                <w:b/>
                <w:bCs/>
                <w:kern w:val="0"/>
                <w:sz w:val="24"/>
                <w:szCs w:val="24"/>
              </w:rPr>
              <w:t>户主签字指模确认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vMerge w:val="continue"/>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485" w:type="dxa"/>
            <w:vMerge w:val="continue"/>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小计</w:t>
            </w:r>
          </w:p>
        </w:tc>
        <w:tc>
          <w:tcPr>
            <w:tcW w:w="66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玉米</w:t>
            </w:r>
          </w:p>
        </w:tc>
        <w:tc>
          <w:tcPr>
            <w:tcW w:w="70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甘蔗</w:t>
            </w:r>
          </w:p>
        </w:tc>
        <w:tc>
          <w:tcPr>
            <w:tcW w:w="94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水稻</w:t>
            </w:r>
          </w:p>
        </w:tc>
        <w:tc>
          <w:tcPr>
            <w:tcW w:w="2085" w:type="dxa"/>
            <w:vMerge w:val="continue"/>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vMerge w:val="continue"/>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2</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3</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4</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5</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6</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7</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8</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9</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10</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11</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12</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13</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14</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15</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16</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17</w:t>
            </w:r>
          </w:p>
        </w:tc>
        <w:tc>
          <w:tcPr>
            <w:tcW w:w="148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kern w:val="0"/>
                <w:sz w:val="24"/>
                <w:szCs w:val="24"/>
              </w:rPr>
              <w:t>合计</w:t>
            </w:r>
          </w:p>
        </w:tc>
        <w:tc>
          <w:tcPr>
            <w:tcW w:w="69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66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7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94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208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c>
          <w:tcPr>
            <w:tcW w:w="138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8470" w:type="dxa"/>
            <w:gridSpan w:val="8"/>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ascii="仿宋" w:hAnsi="仿宋" w:eastAsia="仿宋" w:cs="仿宋"/>
                <w:b/>
                <w:bCs/>
                <w:kern w:val="0"/>
                <w:sz w:val="24"/>
                <w:szCs w:val="24"/>
              </w:rPr>
            </w:pPr>
            <w:r>
              <w:rPr>
                <w:rFonts w:hint="eastAsia" w:ascii="仿宋" w:hAnsi="仿宋" w:eastAsia="仿宋" w:cs="仿宋"/>
                <w:b/>
                <w:bCs/>
                <w:kern w:val="0"/>
                <w:sz w:val="24"/>
                <w:szCs w:val="24"/>
              </w:rPr>
              <w:t>村委会意见：</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ascii="仿宋" w:hAnsi="仿宋" w:eastAsia="仿宋" w:cs="仿宋"/>
                <w:b/>
                <w:bCs/>
                <w:kern w:val="0"/>
                <w:sz w:val="24"/>
                <w:szCs w:val="24"/>
              </w:rPr>
            </w:pP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ascii="仿宋" w:hAnsi="仿宋" w:eastAsia="仿宋" w:cs="仿宋"/>
                <w:b/>
                <w:bCs/>
                <w:kern w:val="0"/>
                <w:sz w:val="24"/>
                <w:szCs w:val="24"/>
              </w:rPr>
            </w:pPr>
            <w:r>
              <w:rPr>
                <w:rFonts w:hint="eastAsia" w:ascii="仿宋" w:hAnsi="仿宋" w:eastAsia="仿宋" w:cs="仿宋"/>
                <w:b/>
                <w:bCs/>
                <w:kern w:val="0"/>
                <w:sz w:val="24"/>
                <w:szCs w:val="24"/>
              </w:rPr>
              <w:t xml:space="preserve">                                   村主任签名：</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ascii="仿宋" w:hAnsi="仿宋" w:eastAsia="仿宋" w:cs="仿宋"/>
                <w:b/>
                <w:bCs/>
                <w:kern w:val="0"/>
                <w:sz w:val="24"/>
                <w:szCs w:val="24"/>
              </w:rPr>
            </w:pPr>
            <w:r>
              <w:rPr>
                <w:rFonts w:hint="eastAsia" w:ascii="仿宋" w:hAnsi="仿宋" w:eastAsia="仿宋" w:cs="仿宋"/>
                <w:b/>
                <w:bCs/>
                <w:kern w:val="0"/>
                <w:sz w:val="24"/>
                <w:szCs w:val="24"/>
              </w:rPr>
              <w:t xml:space="preserve">                                  （村委会公章）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ascii="仿宋" w:hAnsi="仿宋" w:eastAsia="仿宋" w:cs="仿宋"/>
                <w:kern w:val="0"/>
                <w:sz w:val="24"/>
                <w:szCs w:val="24"/>
              </w:rPr>
            </w:pPr>
            <w:r>
              <w:rPr>
                <w:rFonts w:hint="eastAsia" w:ascii="仿宋" w:hAnsi="仿宋" w:eastAsia="仿宋" w:cs="仿宋"/>
                <w:b/>
                <w:bCs/>
                <w:kern w:val="0"/>
                <w:sz w:val="24"/>
                <w:szCs w:val="24"/>
              </w:rPr>
              <w:t xml:space="preserve">                                  2021年</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月</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日</w:t>
            </w:r>
          </w:p>
        </w:tc>
      </w:tr>
    </w:tbl>
    <w:p>
      <w:pPr>
        <w:adjustRightInd w:val="0"/>
        <w:snapToGrid w:val="0"/>
        <w:spacing w:line="590" w:lineRule="exact"/>
        <w:rPr>
          <w:rFonts w:ascii="仿宋" w:hAnsi="仿宋" w:eastAsia="仿宋" w:cs="仿宋"/>
          <w:b/>
          <w:kern w:val="0"/>
          <w:szCs w:val="21"/>
        </w:rPr>
      </w:pPr>
      <w:r>
        <w:rPr>
          <w:rFonts w:hint="eastAsia" w:ascii="仿宋" w:hAnsi="仿宋" w:eastAsia="仿宋" w:cs="仿宋"/>
          <w:kern w:val="0"/>
          <w:sz w:val="32"/>
          <w:szCs w:val="32"/>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 xml:space="preserve">镇(街）农办（盖章）   实施区域（村名） </w:t>
      </w:r>
      <w:r>
        <w:rPr>
          <w:rFonts w:hint="eastAsia" w:ascii="仿宋" w:hAnsi="仿宋" w:eastAsia="仿宋" w:cs="仿宋"/>
          <w:kern w:val="0"/>
          <w:sz w:val="32"/>
          <w:szCs w:val="32"/>
          <w:u w:val="single"/>
        </w:rPr>
        <w:t xml:space="preserve">          </w:t>
      </w:r>
    </w:p>
    <w:p>
      <w:pPr>
        <w:widowControl/>
        <w:jc w:val="left"/>
        <w:rPr>
          <w:rFonts w:ascii="仿宋" w:hAnsi="仿宋" w:eastAsia="仿宋" w:cs="仿宋"/>
          <w:kern w:val="0"/>
          <w:sz w:val="30"/>
          <w:szCs w:val="30"/>
        </w:rPr>
      </w:pPr>
      <w:r>
        <w:rPr>
          <w:rFonts w:hint="eastAsia" w:ascii="仿宋" w:hAnsi="仿宋" w:eastAsia="仿宋" w:cs="仿宋"/>
          <w:kern w:val="0"/>
          <w:sz w:val="30"/>
          <w:szCs w:val="30"/>
        </w:rPr>
        <w:t>镇（街）农办经办人签字：       镇（街）农办主任签字：</w:t>
      </w:r>
    </w:p>
    <w:p>
      <w:pPr>
        <w:widowControl/>
        <w:ind w:firstLine="3600" w:firstLineChars="1200"/>
        <w:jc w:val="left"/>
        <w:rPr>
          <w:rFonts w:ascii="仿宋" w:hAnsi="仿宋" w:eastAsia="仿宋" w:cs="仿宋"/>
          <w:kern w:val="0"/>
          <w:sz w:val="30"/>
          <w:szCs w:val="30"/>
        </w:rPr>
      </w:pPr>
      <w:r>
        <w:rPr>
          <w:rFonts w:hint="eastAsia" w:ascii="仿宋" w:hAnsi="仿宋" w:eastAsia="仿宋" w:cs="仿宋"/>
          <w:kern w:val="0"/>
          <w:sz w:val="30"/>
          <w:szCs w:val="30"/>
        </w:rPr>
        <w:t>登记日期：2021年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djustRightInd w:val="0"/>
        <w:snapToGrid w:val="0"/>
        <w:spacing w:line="590" w:lineRule="exact"/>
        <w:rPr>
          <w:rFonts w:ascii="仿宋" w:hAnsi="仿宋" w:eastAsia="仿宋" w:cs="仿宋"/>
          <w:sz w:val="30"/>
          <w:szCs w:val="30"/>
        </w:rPr>
        <w:sectPr>
          <w:headerReference r:id="rId5" w:type="first"/>
          <w:headerReference r:id="rId3" w:type="default"/>
          <w:footerReference r:id="rId6" w:type="default"/>
          <w:headerReference r:id="rId4" w:type="even"/>
          <w:pgSz w:w="11906" w:h="16838"/>
          <w:pgMar w:top="1701" w:right="1587" w:bottom="1417" w:left="1587" w:header="851" w:footer="992" w:gutter="0"/>
          <w:pgNumType w:fmt="decimal"/>
          <w:cols w:space="0" w:num="1"/>
          <w:titlePg/>
          <w:docGrid w:type="lines" w:linePitch="319" w:charSpace="0"/>
        </w:sectPr>
      </w:pPr>
    </w:p>
    <w:p>
      <w:pPr>
        <w:rPr>
          <w:rFonts w:ascii="仿宋" w:hAnsi="仿宋" w:eastAsia="仿宋" w:cs="仿宋"/>
          <w:sz w:val="32"/>
          <w:szCs w:val="32"/>
        </w:rPr>
      </w:pPr>
      <w:r>
        <w:rPr>
          <w:rFonts w:hint="eastAsia" w:ascii="仿宋" w:hAnsi="仿宋" w:eastAsia="仿宋" w:cs="仿宋"/>
          <w:sz w:val="32"/>
          <w:szCs w:val="32"/>
        </w:rPr>
        <w:t>附件2</w:t>
      </w:r>
    </w:p>
    <w:p>
      <w:pPr>
        <w:adjustRightInd w:val="0"/>
        <w:snapToGrid w:val="0"/>
        <w:spacing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2021年新会区草地贪夜蛾监测与防治项目申报表</w:t>
      </w:r>
    </w:p>
    <w:p>
      <w:pPr>
        <w:jc w:val="left"/>
        <w:rPr>
          <w:rFonts w:ascii="仿宋" w:hAnsi="仿宋" w:eastAsia="仿宋" w:cs="仿宋"/>
          <w:sz w:val="32"/>
          <w:szCs w:val="32"/>
        </w:rPr>
      </w:pPr>
      <w:r>
        <w:rPr>
          <w:rFonts w:hint="eastAsia" w:ascii="仿宋" w:hAnsi="仿宋" w:eastAsia="仿宋" w:cs="仿宋"/>
          <w:sz w:val="32"/>
          <w:szCs w:val="32"/>
        </w:rPr>
        <w:t>申报单位（公章）：</w:t>
      </w:r>
      <w:r>
        <w:rPr>
          <w:rFonts w:hint="eastAsia" w:ascii="仿宋" w:hAnsi="仿宋" w:eastAsia="仿宋" w:cs="仿宋"/>
          <w:sz w:val="32"/>
          <w:szCs w:val="32"/>
          <w:u w:val="single"/>
        </w:rPr>
        <w:t xml:space="preserve">      </w:t>
      </w:r>
      <w:r>
        <w:rPr>
          <w:rFonts w:hint="eastAsia" w:ascii="仿宋" w:hAnsi="仿宋" w:eastAsia="仿宋" w:cs="仿宋"/>
          <w:sz w:val="32"/>
          <w:szCs w:val="32"/>
        </w:rPr>
        <w:t>镇（街）农业农村办公室              申报时间：2021年   月  日</w:t>
      </w:r>
    </w:p>
    <w:tbl>
      <w:tblPr>
        <w:tblStyle w:val="10"/>
        <w:tblW w:w="141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657"/>
        <w:gridCol w:w="1522"/>
        <w:gridCol w:w="1198"/>
        <w:gridCol w:w="1235"/>
        <w:gridCol w:w="1540"/>
        <w:gridCol w:w="973"/>
        <w:gridCol w:w="2332"/>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3" w:type="dxa"/>
            <w:vMerge w:val="restart"/>
            <w:noWrap w:val="0"/>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657" w:type="dxa"/>
            <w:vMerge w:val="restart"/>
            <w:noWrap w:val="0"/>
            <w:vAlign w:val="center"/>
          </w:tcPr>
          <w:p>
            <w:pPr>
              <w:jc w:val="center"/>
              <w:rPr>
                <w:rFonts w:ascii="仿宋" w:hAnsi="仿宋" w:eastAsia="仿宋" w:cs="仿宋"/>
                <w:b/>
                <w:bCs/>
                <w:sz w:val="24"/>
              </w:rPr>
            </w:pPr>
            <w:r>
              <w:rPr>
                <w:rFonts w:hint="eastAsia" w:ascii="仿宋" w:hAnsi="仿宋" w:eastAsia="仿宋" w:cs="仿宋"/>
                <w:b/>
                <w:bCs/>
                <w:sz w:val="24"/>
              </w:rPr>
              <w:t>实施村</w:t>
            </w:r>
          </w:p>
        </w:tc>
        <w:tc>
          <w:tcPr>
            <w:tcW w:w="1522" w:type="dxa"/>
            <w:vMerge w:val="restart"/>
            <w:noWrap w:val="0"/>
            <w:vAlign w:val="center"/>
          </w:tcPr>
          <w:p>
            <w:pPr>
              <w:jc w:val="center"/>
              <w:rPr>
                <w:rFonts w:ascii="仿宋" w:hAnsi="仿宋" w:eastAsia="仿宋" w:cs="仿宋"/>
                <w:b/>
                <w:bCs/>
                <w:sz w:val="24"/>
              </w:rPr>
            </w:pPr>
            <w:r>
              <w:rPr>
                <w:rFonts w:hint="eastAsia" w:ascii="仿宋" w:hAnsi="仿宋" w:eastAsia="仿宋" w:cs="仿宋"/>
                <w:b/>
                <w:bCs/>
                <w:sz w:val="24"/>
              </w:rPr>
              <w:t>参与农户户数（户）</w:t>
            </w:r>
          </w:p>
        </w:tc>
        <w:tc>
          <w:tcPr>
            <w:tcW w:w="4946" w:type="dxa"/>
            <w:gridSpan w:val="4"/>
            <w:noWrap w:val="0"/>
            <w:vAlign w:val="center"/>
          </w:tcPr>
          <w:p>
            <w:pPr>
              <w:widowControl/>
              <w:tabs>
                <w:tab w:val="center" w:pos="4153"/>
                <w:tab w:val="right" w:pos="8306"/>
              </w:tabs>
              <w:snapToGrid w:val="0"/>
              <w:jc w:val="center"/>
              <w:rPr>
                <w:rFonts w:ascii="仿宋" w:hAnsi="仿宋" w:eastAsia="仿宋" w:cs="仿宋"/>
                <w:b/>
                <w:bCs/>
                <w:sz w:val="24"/>
              </w:rPr>
            </w:pPr>
            <w:r>
              <w:rPr>
                <w:rFonts w:hint="eastAsia" w:ascii="仿宋" w:hAnsi="仿宋" w:eastAsia="仿宋" w:cs="仿宋"/>
                <w:b/>
                <w:bCs/>
                <w:kern w:val="0"/>
                <w:sz w:val="24"/>
              </w:rPr>
              <w:t>2021年晚造种植面积（亩）</w:t>
            </w:r>
          </w:p>
        </w:tc>
        <w:tc>
          <w:tcPr>
            <w:tcW w:w="2332" w:type="dxa"/>
            <w:vMerge w:val="restart"/>
            <w:noWrap w:val="0"/>
            <w:vAlign w:val="center"/>
          </w:tcPr>
          <w:p>
            <w:pPr>
              <w:widowControl/>
              <w:tabs>
                <w:tab w:val="center" w:pos="4153"/>
                <w:tab w:val="right" w:pos="8306"/>
              </w:tabs>
              <w:snapToGrid w:val="0"/>
              <w:jc w:val="center"/>
              <w:rPr>
                <w:rFonts w:ascii="仿宋" w:hAnsi="仿宋" w:eastAsia="仿宋" w:cs="仿宋"/>
                <w:b/>
                <w:bCs/>
                <w:sz w:val="24"/>
              </w:rPr>
            </w:pPr>
            <w:r>
              <w:rPr>
                <w:rFonts w:hint="eastAsia" w:ascii="仿宋" w:hAnsi="仿宋" w:eastAsia="仿宋" w:cs="仿宋"/>
                <w:b/>
                <w:bCs/>
                <w:kern w:val="0"/>
                <w:sz w:val="24"/>
              </w:rPr>
              <w:t>是否同意由村委会与镇（街）农办签订实施协议</w:t>
            </w:r>
          </w:p>
        </w:tc>
        <w:tc>
          <w:tcPr>
            <w:tcW w:w="2541" w:type="dxa"/>
            <w:vMerge w:val="restart"/>
            <w:noWrap w:val="0"/>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13" w:type="dxa"/>
            <w:vMerge w:val="continue"/>
            <w:noWrap w:val="0"/>
            <w:vAlign w:val="center"/>
          </w:tcPr>
          <w:p>
            <w:pPr>
              <w:jc w:val="center"/>
              <w:rPr>
                <w:rFonts w:ascii="仿宋" w:hAnsi="仿宋" w:eastAsia="仿宋" w:cs="仿宋"/>
                <w:b/>
                <w:bCs/>
                <w:sz w:val="24"/>
              </w:rPr>
            </w:pPr>
          </w:p>
        </w:tc>
        <w:tc>
          <w:tcPr>
            <w:tcW w:w="1657" w:type="dxa"/>
            <w:vMerge w:val="continue"/>
            <w:noWrap w:val="0"/>
            <w:vAlign w:val="center"/>
          </w:tcPr>
          <w:p>
            <w:pPr>
              <w:jc w:val="center"/>
              <w:rPr>
                <w:rFonts w:ascii="仿宋" w:hAnsi="仿宋" w:eastAsia="仿宋" w:cs="仿宋"/>
                <w:b/>
                <w:bCs/>
                <w:sz w:val="24"/>
              </w:rPr>
            </w:pPr>
          </w:p>
        </w:tc>
        <w:tc>
          <w:tcPr>
            <w:tcW w:w="1522" w:type="dxa"/>
            <w:vMerge w:val="continue"/>
            <w:noWrap w:val="0"/>
            <w:vAlign w:val="center"/>
          </w:tcPr>
          <w:p>
            <w:pPr>
              <w:jc w:val="center"/>
              <w:rPr>
                <w:rFonts w:ascii="仿宋" w:hAnsi="仿宋" w:eastAsia="仿宋" w:cs="仿宋"/>
                <w:b/>
                <w:bCs/>
                <w:sz w:val="24"/>
              </w:rPr>
            </w:pPr>
          </w:p>
        </w:tc>
        <w:tc>
          <w:tcPr>
            <w:tcW w:w="1198" w:type="dxa"/>
            <w:noWrap w:val="0"/>
            <w:vAlign w:val="center"/>
          </w:tcPr>
          <w:p>
            <w:pPr>
              <w:widowControl/>
              <w:tabs>
                <w:tab w:val="center" w:pos="4153"/>
                <w:tab w:val="right" w:pos="8306"/>
              </w:tabs>
              <w:snapToGrid w:val="0"/>
              <w:jc w:val="center"/>
              <w:rPr>
                <w:rFonts w:ascii="仿宋" w:hAnsi="仿宋" w:eastAsia="仿宋" w:cs="仿宋"/>
                <w:b/>
                <w:bCs/>
                <w:kern w:val="0"/>
                <w:sz w:val="24"/>
              </w:rPr>
            </w:pPr>
            <w:r>
              <w:rPr>
                <w:rFonts w:hint="eastAsia" w:ascii="仿宋" w:hAnsi="仿宋" w:eastAsia="仿宋" w:cs="仿宋"/>
                <w:b/>
                <w:bCs/>
                <w:kern w:val="0"/>
                <w:sz w:val="24"/>
              </w:rPr>
              <w:t>小计</w:t>
            </w:r>
          </w:p>
        </w:tc>
        <w:tc>
          <w:tcPr>
            <w:tcW w:w="1235" w:type="dxa"/>
            <w:noWrap w:val="0"/>
            <w:vAlign w:val="center"/>
          </w:tcPr>
          <w:p>
            <w:pPr>
              <w:widowControl/>
              <w:tabs>
                <w:tab w:val="center" w:pos="4153"/>
                <w:tab w:val="right" w:pos="8306"/>
              </w:tabs>
              <w:snapToGrid w:val="0"/>
              <w:jc w:val="center"/>
              <w:rPr>
                <w:rFonts w:ascii="仿宋" w:hAnsi="仿宋" w:eastAsia="仿宋" w:cs="仿宋"/>
                <w:b/>
                <w:bCs/>
                <w:sz w:val="24"/>
              </w:rPr>
            </w:pPr>
            <w:r>
              <w:rPr>
                <w:rFonts w:hint="eastAsia" w:ascii="仿宋" w:hAnsi="仿宋" w:eastAsia="仿宋" w:cs="仿宋"/>
                <w:b/>
                <w:bCs/>
                <w:kern w:val="0"/>
                <w:sz w:val="24"/>
              </w:rPr>
              <w:t>玉米</w:t>
            </w:r>
          </w:p>
        </w:tc>
        <w:tc>
          <w:tcPr>
            <w:tcW w:w="1540" w:type="dxa"/>
            <w:noWrap w:val="0"/>
            <w:vAlign w:val="center"/>
          </w:tcPr>
          <w:p>
            <w:pPr>
              <w:widowControl/>
              <w:tabs>
                <w:tab w:val="center" w:pos="4153"/>
                <w:tab w:val="right" w:pos="8306"/>
              </w:tabs>
              <w:snapToGrid w:val="0"/>
              <w:jc w:val="center"/>
              <w:rPr>
                <w:rFonts w:ascii="仿宋" w:hAnsi="仿宋" w:eastAsia="仿宋" w:cs="仿宋"/>
                <w:b/>
                <w:bCs/>
                <w:sz w:val="24"/>
              </w:rPr>
            </w:pPr>
            <w:r>
              <w:rPr>
                <w:rFonts w:hint="eastAsia" w:ascii="仿宋" w:hAnsi="仿宋" w:eastAsia="仿宋" w:cs="仿宋"/>
                <w:b/>
                <w:bCs/>
                <w:kern w:val="0"/>
                <w:sz w:val="24"/>
              </w:rPr>
              <w:t>甘蔗</w:t>
            </w:r>
          </w:p>
        </w:tc>
        <w:tc>
          <w:tcPr>
            <w:tcW w:w="973" w:type="dxa"/>
            <w:noWrap w:val="0"/>
            <w:vAlign w:val="center"/>
          </w:tcPr>
          <w:p>
            <w:pPr>
              <w:widowControl/>
              <w:tabs>
                <w:tab w:val="center" w:pos="4153"/>
                <w:tab w:val="right" w:pos="8306"/>
              </w:tabs>
              <w:snapToGrid w:val="0"/>
              <w:jc w:val="center"/>
              <w:rPr>
                <w:rFonts w:ascii="仿宋" w:hAnsi="仿宋" w:eastAsia="仿宋" w:cs="仿宋"/>
                <w:b/>
                <w:bCs/>
                <w:sz w:val="24"/>
              </w:rPr>
            </w:pPr>
            <w:r>
              <w:rPr>
                <w:rFonts w:hint="eastAsia" w:ascii="仿宋" w:hAnsi="仿宋" w:eastAsia="仿宋" w:cs="仿宋"/>
                <w:b/>
                <w:bCs/>
                <w:kern w:val="0"/>
                <w:sz w:val="24"/>
              </w:rPr>
              <w:t>水稻</w:t>
            </w:r>
          </w:p>
        </w:tc>
        <w:tc>
          <w:tcPr>
            <w:tcW w:w="2332" w:type="dxa"/>
            <w:vMerge w:val="continue"/>
            <w:noWrap w:val="0"/>
            <w:vAlign w:val="center"/>
          </w:tcPr>
          <w:p>
            <w:pPr>
              <w:jc w:val="center"/>
              <w:rPr>
                <w:rFonts w:ascii="仿宋" w:hAnsi="仿宋" w:eastAsia="仿宋" w:cs="仿宋"/>
                <w:b/>
                <w:bCs/>
                <w:sz w:val="24"/>
              </w:rPr>
            </w:pPr>
          </w:p>
        </w:tc>
        <w:tc>
          <w:tcPr>
            <w:tcW w:w="2541" w:type="dxa"/>
            <w:vMerge w:val="continue"/>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1</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widowControl/>
              <w:tabs>
                <w:tab w:val="center" w:pos="4153"/>
                <w:tab w:val="right" w:pos="8306"/>
              </w:tabs>
              <w:snapToGrid w:val="0"/>
              <w:jc w:val="center"/>
              <w:rPr>
                <w:rFonts w:ascii="仿宋" w:hAnsi="仿宋" w:eastAsia="仿宋" w:cs="仿宋"/>
                <w:b/>
                <w:bCs/>
                <w:kern w:val="0"/>
                <w:sz w:val="24"/>
              </w:rPr>
            </w:pPr>
          </w:p>
        </w:tc>
        <w:tc>
          <w:tcPr>
            <w:tcW w:w="1235" w:type="dxa"/>
            <w:noWrap w:val="0"/>
            <w:vAlign w:val="center"/>
          </w:tcPr>
          <w:p>
            <w:pPr>
              <w:widowControl/>
              <w:tabs>
                <w:tab w:val="center" w:pos="4153"/>
                <w:tab w:val="right" w:pos="8306"/>
              </w:tabs>
              <w:snapToGrid w:val="0"/>
              <w:jc w:val="center"/>
              <w:rPr>
                <w:rFonts w:ascii="仿宋" w:hAnsi="仿宋" w:eastAsia="仿宋" w:cs="仿宋"/>
                <w:b/>
                <w:bCs/>
                <w:sz w:val="24"/>
              </w:rPr>
            </w:pPr>
          </w:p>
        </w:tc>
        <w:tc>
          <w:tcPr>
            <w:tcW w:w="1540" w:type="dxa"/>
            <w:noWrap w:val="0"/>
            <w:vAlign w:val="center"/>
          </w:tcPr>
          <w:p>
            <w:pPr>
              <w:widowControl/>
              <w:tabs>
                <w:tab w:val="center" w:pos="4153"/>
                <w:tab w:val="right" w:pos="8306"/>
              </w:tabs>
              <w:snapToGrid w:val="0"/>
              <w:jc w:val="center"/>
              <w:rPr>
                <w:rFonts w:ascii="仿宋" w:hAnsi="仿宋" w:eastAsia="仿宋" w:cs="仿宋"/>
                <w:b/>
                <w:bCs/>
                <w:sz w:val="24"/>
              </w:rPr>
            </w:pPr>
          </w:p>
        </w:tc>
        <w:tc>
          <w:tcPr>
            <w:tcW w:w="973" w:type="dxa"/>
            <w:noWrap w:val="0"/>
            <w:vAlign w:val="center"/>
          </w:tcPr>
          <w:p>
            <w:pPr>
              <w:widowControl/>
              <w:tabs>
                <w:tab w:val="center" w:pos="4153"/>
                <w:tab w:val="right" w:pos="8306"/>
              </w:tabs>
              <w:snapToGrid w:val="0"/>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2</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widowControl/>
              <w:tabs>
                <w:tab w:val="center" w:pos="4153"/>
                <w:tab w:val="right" w:pos="8306"/>
              </w:tabs>
              <w:snapToGrid w:val="0"/>
              <w:jc w:val="center"/>
              <w:rPr>
                <w:rFonts w:ascii="仿宋" w:hAnsi="仿宋" w:eastAsia="仿宋" w:cs="仿宋"/>
                <w:b/>
                <w:bCs/>
                <w:kern w:val="0"/>
                <w:sz w:val="24"/>
              </w:rPr>
            </w:pPr>
          </w:p>
        </w:tc>
        <w:tc>
          <w:tcPr>
            <w:tcW w:w="1235" w:type="dxa"/>
            <w:noWrap w:val="0"/>
            <w:vAlign w:val="center"/>
          </w:tcPr>
          <w:p>
            <w:pPr>
              <w:widowControl/>
              <w:tabs>
                <w:tab w:val="center" w:pos="4153"/>
                <w:tab w:val="right" w:pos="8306"/>
              </w:tabs>
              <w:snapToGrid w:val="0"/>
              <w:jc w:val="center"/>
              <w:rPr>
                <w:rFonts w:ascii="仿宋" w:hAnsi="仿宋" w:eastAsia="仿宋" w:cs="仿宋"/>
                <w:b/>
                <w:bCs/>
                <w:kern w:val="0"/>
                <w:sz w:val="24"/>
              </w:rPr>
            </w:pPr>
          </w:p>
        </w:tc>
        <w:tc>
          <w:tcPr>
            <w:tcW w:w="1540" w:type="dxa"/>
            <w:noWrap w:val="0"/>
            <w:vAlign w:val="center"/>
          </w:tcPr>
          <w:p>
            <w:pPr>
              <w:widowControl/>
              <w:tabs>
                <w:tab w:val="center" w:pos="4153"/>
                <w:tab w:val="right" w:pos="8306"/>
              </w:tabs>
              <w:snapToGrid w:val="0"/>
              <w:jc w:val="center"/>
              <w:rPr>
                <w:rFonts w:ascii="仿宋" w:hAnsi="仿宋" w:eastAsia="仿宋" w:cs="仿宋"/>
                <w:b/>
                <w:bCs/>
                <w:kern w:val="0"/>
                <w:sz w:val="24"/>
              </w:rPr>
            </w:pPr>
          </w:p>
        </w:tc>
        <w:tc>
          <w:tcPr>
            <w:tcW w:w="973" w:type="dxa"/>
            <w:noWrap w:val="0"/>
            <w:vAlign w:val="center"/>
          </w:tcPr>
          <w:p>
            <w:pPr>
              <w:widowControl/>
              <w:tabs>
                <w:tab w:val="center" w:pos="4153"/>
                <w:tab w:val="right" w:pos="8306"/>
              </w:tabs>
              <w:snapToGrid w:val="0"/>
              <w:jc w:val="center"/>
              <w:rPr>
                <w:rFonts w:ascii="仿宋" w:hAnsi="仿宋" w:eastAsia="仿宋" w:cs="仿宋"/>
                <w:b/>
                <w:bCs/>
                <w:kern w:val="0"/>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3</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4</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5</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6</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7</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8</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9</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10</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11</w:t>
            </w:r>
          </w:p>
        </w:tc>
        <w:tc>
          <w:tcPr>
            <w:tcW w:w="1657" w:type="dxa"/>
            <w:noWrap w:val="0"/>
            <w:vAlign w:val="center"/>
          </w:tcPr>
          <w:p>
            <w:pPr>
              <w:jc w:val="center"/>
              <w:rPr>
                <w:rFonts w:ascii="仿宋" w:hAnsi="仿宋" w:eastAsia="仿宋" w:cs="仿宋"/>
                <w:b/>
                <w:bCs/>
                <w:sz w:val="24"/>
              </w:rPr>
            </w:pP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noWrap w:val="0"/>
            <w:vAlign w:val="center"/>
          </w:tcPr>
          <w:p>
            <w:pPr>
              <w:jc w:val="center"/>
              <w:rPr>
                <w:rFonts w:ascii="仿宋" w:hAnsi="仿宋" w:eastAsia="仿宋" w:cs="仿宋"/>
                <w:b/>
                <w:bCs/>
                <w:sz w:val="24"/>
              </w:rPr>
            </w:pPr>
            <w:r>
              <w:rPr>
                <w:rFonts w:hint="eastAsia" w:ascii="仿宋" w:hAnsi="仿宋" w:eastAsia="仿宋" w:cs="仿宋"/>
                <w:b/>
                <w:bCs/>
                <w:sz w:val="24"/>
              </w:rPr>
              <w:t>12</w:t>
            </w:r>
          </w:p>
        </w:tc>
        <w:tc>
          <w:tcPr>
            <w:tcW w:w="1657" w:type="dxa"/>
            <w:noWrap w:val="0"/>
            <w:vAlign w:val="center"/>
          </w:tcPr>
          <w:p>
            <w:pPr>
              <w:jc w:val="center"/>
              <w:rPr>
                <w:rFonts w:ascii="仿宋" w:hAnsi="仿宋" w:eastAsia="仿宋" w:cs="仿宋"/>
                <w:b/>
                <w:bCs/>
                <w:sz w:val="24"/>
              </w:rPr>
            </w:pPr>
            <w:r>
              <w:rPr>
                <w:rFonts w:hint="eastAsia" w:ascii="仿宋" w:hAnsi="仿宋" w:eastAsia="仿宋" w:cs="仿宋"/>
                <w:b/>
                <w:bCs/>
                <w:sz w:val="24"/>
              </w:rPr>
              <w:t>全镇合计</w:t>
            </w:r>
          </w:p>
        </w:tc>
        <w:tc>
          <w:tcPr>
            <w:tcW w:w="1522" w:type="dxa"/>
            <w:noWrap w:val="0"/>
            <w:vAlign w:val="center"/>
          </w:tcPr>
          <w:p>
            <w:pPr>
              <w:jc w:val="center"/>
              <w:rPr>
                <w:rFonts w:ascii="仿宋" w:hAnsi="仿宋" w:eastAsia="仿宋" w:cs="仿宋"/>
                <w:b/>
                <w:bCs/>
                <w:sz w:val="24"/>
              </w:rPr>
            </w:pPr>
          </w:p>
        </w:tc>
        <w:tc>
          <w:tcPr>
            <w:tcW w:w="1198" w:type="dxa"/>
            <w:noWrap w:val="0"/>
            <w:vAlign w:val="center"/>
          </w:tcPr>
          <w:p>
            <w:pPr>
              <w:jc w:val="center"/>
              <w:rPr>
                <w:rFonts w:ascii="仿宋" w:hAnsi="仿宋" w:eastAsia="仿宋" w:cs="仿宋"/>
                <w:b/>
                <w:bCs/>
                <w:sz w:val="24"/>
              </w:rPr>
            </w:pPr>
          </w:p>
        </w:tc>
        <w:tc>
          <w:tcPr>
            <w:tcW w:w="1235" w:type="dxa"/>
            <w:noWrap w:val="0"/>
            <w:vAlign w:val="center"/>
          </w:tcPr>
          <w:p>
            <w:pPr>
              <w:jc w:val="center"/>
              <w:rPr>
                <w:rFonts w:ascii="仿宋" w:hAnsi="仿宋" w:eastAsia="仿宋" w:cs="仿宋"/>
                <w:b/>
                <w:bCs/>
                <w:sz w:val="24"/>
              </w:rPr>
            </w:pPr>
          </w:p>
        </w:tc>
        <w:tc>
          <w:tcPr>
            <w:tcW w:w="1540" w:type="dxa"/>
            <w:noWrap w:val="0"/>
            <w:vAlign w:val="center"/>
          </w:tcPr>
          <w:p>
            <w:pPr>
              <w:jc w:val="center"/>
              <w:rPr>
                <w:rFonts w:ascii="仿宋" w:hAnsi="仿宋" w:eastAsia="仿宋" w:cs="仿宋"/>
                <w:b/>
                <w:bCs/>
                <w:sz w:val="24"/>
              </w:rPr>
            </w:pPr>
          </w:p>
        </w:tc>
        <w:tc>
          <w:tcPr>
            <w:tcW w:w="973" w:type="dxa"/>
            <w:noWrap w:val="0"/>
            <w:vAlign w:val="center"/>
          </w:tcPr>
          <w:p>
            <w:pPr>
              <w:jc w:val="center"/>
              <w:rPr>
                <w:rFonts w:ascii="仿宋" w:hAnsi="仿宋" w:eastAsia="仿宋" w:cs="仿宋"/>
                <w:b/>
                <w:bCs/>
                <w:sz w:val="24"/>
              </w:rPr>
            </w:pPr>
          </w:p>
        </w:tc>
        <w:tc>
          <w:tcPr>
            <w:tcW w:w="2332" w:type="dxa"/>
            <w:noWrap w:val="0"/>
            <w:vAlign w:val="center"/>
          </w:tcPr>
          <w:p>
            <w:pPr>
              <w:jc w:val="center"/>
              <w:rPr>
                <w:rFonts w:ascii="仿宋" w:hAnsi="仿宋" w:eastAsia="仿宋" w:cs="仿宋"/>
                <w:b/>
                <w:bCs/>
                <w:sz w:val="24"/>
              </w:rPr>
            </w:pPr>
          </w:p>
        </w:tc>
        <w:tc>
          <w:tcPr>
            <w:tcW w:w="2541" w:type="dxa"/>
            <w:noWrap w:val="0"/>
            <w:vAlign w:val="center"/>
          </w:tcPr>
          <w:p>
            <w:pPr>
              <w:jc w:val="center"/>
              <w:rPr>
                <w:rFonts w:ascii="仿宋" w:hAnsi="仿宋" w:eastAsia="仿宋" w:cs="仿宋"/>
                <w:b/>
                <w:bCs/>
                <w:sz w:val="24"/>
              </w:rPr>
            </w:pPr>
          </w:p>
        </w:tc>
      </w:tr>
    </w:tbl>
    <w:p>
      <w:pPr>
        <w:jc w:val="left"/>
        <w:rPr>
          <w:rFonts w:ascii="仿宋" w:hAnsi="仿宋" w:eastAsia="仿宋" w:cs="仿宋"/>
          <w:sz w:val="32"/>
          <w:szCs w:val="32"/>
        </w:rPr>
        <w:sectPr>
          <w:pgSz w:w="16838" w:h="11906" w:orient="landscape"/>
          <w:pgMar w:top="1803" w:right="1440" w:bottom="1803" w:left="1440" w:header="851" w:footer="992" w:gutter="0"/>
          <w:pgNumType w:fmt="decimal"/>
          <w:cols w:space="0" w:num="1"/>
          <w:docGrid w:type="linesAndChars" w:linePitch="319" w:charSpace="0"/>
        </w:sectPr>
      </w:pPr>
      <w:r>
        <w:rPr>
          <w:rFonts w:hint="eastAsia" w:ascii="仿宋" w:hAnsi="仿宋" w:eastAsia="仿宋" w:cs="仿宋"/>
          <w:sz w:val="32"/>
          <w:szCs w:val="32"/>
        </w:rPr>
        <w:t>经办人签字：              镇（街）农办主任签字：               分管领导签字：</w:t>
      </w:r>
    </w:p>
    <w:p>
      <w:pPr>
        <w:adjustRightInd w:val="0"/>
        <w:snapToGrid w:val="0"/>
        <w:spacing w:line="590" w:lineRule="exact"/>
        <w:rPr>
          <w:rFonts w:ascii="仿宋" w:hAnsi="仿宋" w:eastAsia="仿宋" w:cs="仿宋"/>
          <w:sz w:val="32"/>
          <w:szCs w:val="32"/>
        </w:rPr>
      </w:pPr>
      <w:r>
        <w:rPr>
          <w:rFonts w:hint="eastAsia" w:ascii="仿宋" w:hAnsi="仿宋" w:eastAsia="仿宋" w:cs="仿宋"/>
          <w:sz w:val="32"/>
          <w:szCs w:val="32"/>
        </w:rPr>
        <w:t>附件3</w:t>
      </w:r>
    </w:p>
    <w:p>
      <w:pPr>
        <w:adjustRightInd w:val="0"/>
        <w:snapToGrid w:val="0"/>
        <w:spacing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2021年新会区水稻病虫害统防统治项目</w:t>
      </w:r>
    </w:p>
    <w:p>
      <w:pPr>
        <w:adjustRightInd w:val="0"/>
        <w:snapToGrid w:val="0"/>
        <w:spacing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登记清册</w:t>
      </w:r>
    </w:p>
    <w:p>
      <w:pPr>
        <w:adjustRightInd w:val="0"/>
        <w:snapToGrid w:val="0"/>
        <w:spacing w:line="590" w:lineRule="exact"/>
        <w:rPr>
          <w:rFonts w:ascii="仿宋" w:hAnsi="仿宋" w:eastAsia="仿宋" w:cs="仿宋"/>
          <w:b/>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 xml:space="preserve">镇(街）农办（盖章）   实施区域（村名） </w:t>
      </w:r>
      <w:r>
        <w:rPr>
          <w:rFonts w:hint="eastAsia" w:ascii="仿宋" w:hAnsi="仿宋" w:eastAsia="仿宋" w:cs="仿宋"/>
          <w:kern w:val="0"/>
          <w:sz w:val="32"/>
          <w:szCs w:val="32"/>
          <w:u w:val="single"/>
        </w:rPr>
        <w:t xml:space="preserve">          </w:t>
      </w:r>
    </w:p>
    <w:tbl>
      <w:tblPr>
        <w:tblStyle w:val="10"/>
        <w:tblW w:w="91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98"/>
        <w:gridCol w:w="926"/>
        <w:gridCol w:w="1920"/>
        <w:gridCol w:w="1395"/>
        <w:gridCol w:w="1005"/>
        <w:gridCol w:w="11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98"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参与农户姓名或名称</w:t>
            </w: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2021年晚造水稻种植面积（亩）</w:t>
            </w:r>
          </w:p>
        </w:tc>
        <w:tc>
          <w:tcPr>
            <w:tcW w:w="192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其中：属于按《新会区粮食生产安全实施方案》要求，今年挖潜新增的晚造水稻种植面积（亩）</w:t>
            </w:r>
          </w:p>
        </w:tc>
        <w:tc>
          <w:tcPr>
            <w:tcW w:w="139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同意无人机飞防作业的水稻病虫害统防统治面积（亩）</w:t>
            </w:r>
          </w:p>
        </w:tc>
        <w:tc>
          <w:tcPr>
            <w:tcW w:w="100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是否同意见承担防控药剂费用</w:t>
            </w: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是否同意由村委会与镇（街）农办签订实施协议</w:t>
            </w: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户主签字指模确认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98"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98"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926"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920"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39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05" w:type="dxa"/>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140"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c>
          <w:tcPr>
            <w:tcW w:w="1035"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182" w:type="dxa"/>
            <w:gridSpan w:val="8"/>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村委会意见：</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kern w:val="0"/>
                <w:sz w:val="24"/>
                <w:szCs w:val="24"/>
              </w:rPr>
            </w:pP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村主任签名：</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（村委会公章）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 xml:space="preserve">                                  2021年</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月</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日</w:t>
            </w:r>
          </w:p>
        </w:tc>
      </w:tr>
    </w:tbl>
    <w:p>
      <w:pPr>
        <w:widowControl/>
        <w:jc w:val="left"/>
        <w:rPr>
          <w:rFonts w:ascii="仿宋" w:hAnsi="仿宋" w:eastAsia="仿宋" w:cs="仿宋"/>
          <w:kern w:val="0"/>
          <w:sz w:val="30"/>
          <w:szCs w:val="30"/>
        </w:rPr>
      </w:pPr>
      <w:r>
        <w:rPr>
          <w:rFonts w:hint="eastAsia" w:ascii="仿宋" w:hAnsi="仿宋" w:eastAsia="仿宋" w:cs="仿宋"/>
          <w:kern w:val="0"/>
          <w:sz w:val="30"/>
          <w:szCs w:val="30"/>
        </w:rPr>
        <w:t>镇（街）农办经办人签字：       镇（街）农办主任签字：</w:t>
      </w:r>
    </w:p>
    <w:p>
      <w:pPr>
        <w:widowControl/>
        <w:ind w:firstLine="3600" w:firstLineChars="1200"/>
        <w:jc w:val="left"/>
        <w:rPr>
          <w:rFonts w:ascii="仿宋" w:hAnsi="仿宋" w:eastAsia="仿宋" w:cs="仿宋"/>
          <w:kern w:val="0"/>
          <w:sz w:val="30"/>
          <w:szCs w:val="30"/>
        </w:rPr>
      </w:pPr>
      <w:r>
        <w:rPr>
          <w:rFonts w:hint="eastAsia" w:ascii="仿宋" w:hAnsi="仿宋" w:eastAsia="仿宋" w:cs="仿宋"/>
          <w:kern w:val="0"/>
          <w:sz w:val="30"/>
          <w:szCs w:val="30"/>
        </w:rPr>
        <w:t>登记日期：2021年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rPr>
          <w:rFonts w:ascii="仿宋" w:hAnsi="仿宋" w:eastAsia="仿宋" w:cs="仿宋"/>
          <w:sz w:val="30"/>
          <w:szCs w:val="30"/>
        </w:rPr>
        <w:sectPr>
          <w:pgSz w:w="11906" w:h="16838"/>
          <w:pgMar w:top="1440" w:right="1803" w:bottom="1440" w:left="1803" w:header="851" w:footer="992" w:gutter="0"/>
          <w:pgNumType w:fmt="decimal"/>
          <w:cols w:space="0" w:num="1"/>
          <w:docGrid w:type="lines" w:linePitch="319" w:charSpace="0"/>
        </w:sectPr>
      </w:pPr>
    </w:p>
    <w:p>
      <w:pPr>
        <w:rPr>
          <w:rFonts w:hint="eastAsia" w:ascii="方正小标宋简体" w:hAnsi="方正小标宋简体" w:eastAsia="方正小标宋简体" w:cs="方正小标宋简体"/>
          <w:b w:val="0"/>
          <w:bCs w:val="0"/>
          <w:sz w:val="44"/>
          <w:szCs w:val="44"/>
        </w:rPr>
      </w:pPr>
      <w:r>
        <w:rPr>
          <w:rFonts w:hint="eastAsia" w:ascii="仿宋" w:hAnsi="仿宋" w:eastAsia="仿宋" w:cs="仿宋"/>
          <w:sz w:val="32"/>
          <w:szCs w:val="32"/>
        </w:rPr>
        <w:t>附件4</w:t>
      </w:r>
    </w:p>
    <w:p>
      <w:pPr>
        <w:adjustRightInd w:val="0"/>
        <w:snapToGrid w:val="0"/>
        <w:spacing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2021年新会区水稻病虫害统防统治项目申报表</w:t>
      </w:r>
    </w:p>
    <w:p>
      <w:pPr>
        <w:jc w:val="left"/>
        <w:rPr>
          <w:rFonts w:ascii="仿宋" w:hAnsi="仿宋" w:eastAsia="仿宋" w:cs="仿宋"/>
          <w:sz w:val="32"/>
          <w:szCs w:val="32"/>
        </w:rPr>
      </w:pPr>
      <w:r>
        <w:rPr>
          <w:rFonts w:hint="eastAsia" w:ascii="仿宋" w:hAnsi="仿宋" w:eastAsia="仿宋" w:cs="仿宋"/>
          <w:sz w:val="32"/>
          <w:szCs w:val="32"/>
        </w:rPr>
        <w:t>申报单位（公章）：</w:t>
      </w:r>
      <w:r>
        <w:rPr>
          <w:rFonts w:hint="eastAsia" w:ascii="仿宋" w:hAnsi="仿宋" w:eastAsia="仿宋" w:cs="仿宋"/>
          <w:sz w:val="32"/>
          <w:szCs w:val="32"/>
          <w:u w:val="single"/>
        </w:rPr>
        <w:t xml:space="preserve">      </w:t>
      </w:r>
      <w:r>
        <w:rPr>
          <w:rFonts w:hint="eastAsia" w:ascii="仿宋" w:hAnsi="仿宋" w:eastAsia="仿宋" w:cs="仿宋"/>
          <w:sz w:val="32"/>
          <w:szCs w:val="32"/>
        </w:rPr>
        <w:t>镇（街）农业农村办公室           申报时间：2021年   月  日</w:t>
      </w:r>
    </w:p>
    <w:tbl>
      <w:tblPr>
        <w:tblStyle w:val="10"/>
        <w:tblW w:w="144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39"/>
        <w:gridCol w:w="1161"/>
        <w:gridCol w:w="1162"/>
        <w:gridCol w:w="2235"/>
        <w:gridCol w:w="1866"/>
        <w:gridCol w:w="1459"/>
        <w:gridCol w:w="1524"/>
        <w:gridCol w:w="120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序号</w:t>
            </w:r>
          </w:p>
        </w:tc>
        <w:tc>
          <w:tcPr>
            <w:tcW w:w="1539" w:type="dxa"/>
            <w:noWrap w:val="0"/>
            <w:vAlign w:val="center"/>
          </w:tcPr>
          <w:p>
            <w:pPr>
              <w:jc w:val="center"/>
              <w:rPr>
                <w:rFonts w:ascii="仿宋" w:hAnsi="仿宋" w:eastAsia="仿宋" w:cs="仿宋"/>
                <w:sz w:val="24"/>
              </w:rPr>
            </w:pPr>
            <w:r>
              <w:rPr>
                <w:rFonts w:hint="eastAsia" w:ascii="仿宋" w:hAnsi="仿宋" w:eastAsia="仿宋" w:cs="仿宋"/>
                <w:sz w:val="24"/>
              </w:rPr>
              <w:t>实施村</w:t>
            </w:r>
          </w:p>
        </w:tc>
        <w:tc>
          <w:tcPr>
            <w:tcW w:w="1161" w:type="dxa"/>
            <w:noWrap w:val="0"/>
            <w:vAlign w:val="center"/>
          </w:tcPr>
          <w:p>
            <w:pPr>
              <w:jc w:val="center"/>
              <w:rPr>
                <w:rFonts w:ascii="仿宋" w:hAnsi="仿宋" w:eastAsia="仿宋" w:cs="仿宋"/>
                <w:sz w:val="24"/>
              </w:rPr>
            </w:pPr>
            <w:r>
              <w:rPr>
                <w:rFonts w:hint="eastAsia" w:ascii="仿宋" w:hAnsi="仿宋" w:eastAsia="仿宋" w:cs="仿宋"/>
                <w:sz w:val="24"/>
              </w:rPr>
              <w:t>参与农户户数（户）</w:t>
            </w:r>
          </w:p>
        </w:tc>
        <w:tc>
          <w:tcPr>
            <w:tcW w:w="1162" w:type="dxa"/>
            <w:noWrap w:val="0"/>
            <w:vAlign w:val="center"/>
          </w:tcPr>
          <w:p>
            <w:pPr>
              <w:widowControl/>
              <w:tabs>
                <w:tab w:val="center" w:pos="4153"/>
                <w:tab w:val="right" w:pos="8306"/>
              </w:tabs>
              <w:snapToGrid w:val="0"/>
              <w:jc w:val="center"/>
              <w:rPr>
                <w:rFonts w:ascii="仿宋" w:hAnsi="仿宋" w:eastAsia="仿宋" w:cs="仿宋"/>
                <w:sz w:val="24"/>
              </w:rPr>
            </w:pPr>
            <w:r>
              <w:rPr>
                <w:rFonts w:hint="eastAsia" w:ascii="仿宋" w:hAnsi="仿宋" w:eastAsia="仿宋" w:cs="仿宋"/>
                <w:sz w:val="24"/>
              </w:rPr>
              <w:t>2021年晚造水稻种植面积（亩）</w:t>
            </w:r>
          </w:p>
        </w:tc>
        <w:tc>
          <w:tcPr>
            <w:tcW w:w="2235" w:type="dxa"/>
            <w:noWrap w:val="0"/>
            <w:vAlign w:val="center"/>
          </w:tcPr>
          <w:p>
            <w:pPr>
              <w:widowControl/>
              <w:tabs>
                <w:tab w:val="center" w:pos="4153"/>
                <w:tab w:val="right" w:pos="8306"/>
              </w:tabs>
              <w:snapToGrid w:val="0"/>
              <w:jc w:val="center"/>
              <w:rPr>
                <w:rFonts w:ascii="仿宋" w:hAnsi="仿宋" w:eastAsia="仿宋" w:cs="仿宋"/>
                <w:sz w:val="24"/>
              </w:rPr>
            </w:pPr>
            <w:r>
              <w:rPr>
                <w:rFonts w:hint="eastAsia" w:ascii="仿宋" w:hAnsi="仿宋" w:eastAsia="仿宋" w:cs="仿宋"/>
                <w:sz w:val="24"/>
              </w:rPr>
              <w:t>其中：属于按《新会区粮食生产安全实施方案》要求，今年挖潜新增的晚造水稻种植面积（亩）</w:t>
            </w:r>
          </w:p>
        </w:tc>
        <w:tc>
          <w:tcPr>
            <w:tcW w:w="1866" w:type="dxa"/>
            <w:noWrap w:val="0"/>
            <w:vAlign w:val="center"/>
          </w:tcPr>
          <w:p>
            <w:pPr>
              <w:widowControl/>
              <w:tabs>
                <w:tab w:val="center" w:pos="4153"/>
                <w:tab w:val="right" w:pos="8306"/>
              </w:tabs>
              <w:snapToGrid w:val="0"/>
              <w:jc w:val="center"/>
              <w:rPr>
                <w:rFonts w:ascii="仿宋" w:hAnsi="仿宋" w:eastAsia="仿宋" w:cs="仿宋"/>
                <w:sz w:val="24"/>
              </w:rPr>
            </w:pPr>
            <w:r>
              <w:rPr>
                <w:rFonts w:hint="eastAsia" w:ascii="仿宋" w:hAnsi="仿宋" w:eastAsia="仿宋" w:cs="仿宋"/>
                <w:sz w:val="24"/>
              </w:rPr>
              <w:t>同意无人机飞防作业的水稻病虫害统防统治面积（亩）</w:t>
            </w:r>
          </w:p>
        </w:tc>
        <w:tc>
          <w:tcPr>
            <w:tcW w:w="1459" w:type="dxa"/>
            <w:noWrap w:val="0"/>
            <w:vAlign w:val="center"/>
          </w:tcPr>
          <w:p>
            <w:pPr>
              <w:widowControl/>
              <w:tabs>
                <w:tab w:val="center" w:pos="4153"/>
                <w:tab w:val="right" w:pos="8306"/>
              </w:tabs>
              <w:snapToGrid w:val="0"/>
              <w:jc w:val="center"/>
              <w:rPr>
                <w:rFonts w:ascii="仿宋" w:hAnsi="仿宋" w:eastAsia="仿宋" w:cs="仿宋"/>
                <w:sz w:val="24"/>
              </w:rPr>
            </w:pPr>
            <w:r>
              <w:rPr>
                <w:rFonts w:hint="eastAsia" w:ascii="仿宋" w:hAnsi="仿宋" w:eastAsia="仿宋" w:cs="仿宋"/>
                <w:sz w:val="24"/>
              </w:rPr>
              <w:t>是否同意见承担防控药剂费用</w:t>
            </w:r>
          </w:p>
        </w:tc>
        <w:tc>
          <w:tcPr>
            <w:tcW w:w="1524" w:type="dxa"/>
            <w:noWrap w:val="0"/>
            <w:vAlign w:val="center"/>
          </w:tcPr>
          <w:p>
            <w:pPr>
              <w:widowControl/>
              <w:tabs>
                <w:tab w:val="center" w:pos="4153"/>
                <w:tab w:val="right" w:pos="8306"/>
              </w:tabs>
              <w:snapToGrid w:val="0"/>
              <w:jc w:val="center"/>
              <w:rPr>
                <w:rFonts w:ascii="仿宋" w:hAnsi="仿宋" w:eastAsia="仿宋" w:cs="仿宋"/>
                <w:sz w:val="24"/>
              </w:rPr>
            </w:pPr>
            <w:r>
              <w:rPr>
                <w:rFonts w:hint="eastAsia" w:ascii="仿宋" w:hAnsi="仿宋" w:eastAsia="仿宋" w:cs="仿宋"/>
                <w:sz w:val="24"/>
              </w:rPr>
              <w:t>镇（街）农办是否与村委会与签订实施协议</w:t>
            </w:r>
          </w:p>
        </w:tc>
        <w:tc>
          <w:tcPr>
            <w:tcW w:w="1200" w:type="dxa"/>
            <w:noWrap w:val="0"/>
            <w:vAlign w:val="center"/>
          </w:tcPr>
          <w:p>
            <w:pPr>
              <w:jc w:val="center"/>
              <w:rPr>
                <w:rFonts w:ascii="仿宋" w:hAnsi="仿宋" w:eastAsia="仿宋" w:cs="仿宋"/>
                <w:sz w:val="24"/>
              </w:rPr>
            </w:pPr>
            <w:r>
              <w:rPr>
                <w:rFonts w:hint="eastAsia" w:ascii="仿宋" w:hAnsi="仿宋" w:eastAsia="仿宋" w:cs="仿宋"/>
                <w:sz w:val="24"/>
              </w:rPr>
              <w:t>是否符合无人机飞防作业</w:t>
            </w:r>
          </w:p>
        </w:tc>
        <w:tc>
          <w:tcPr>
            <w:tcW w:w="1410" w:type="dxa"/>
            <w:noWrap w:val="0"/>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1</w:t>
            </w:r>
          </w:p>
        </w:tc>
        <w:tc>
          <w:tcPr>
            <w:tcW w:w="1539" w:type="dxa"/>
            <w:noWrap w:val="0"/>
            <w:vAlign w:val="center"/>
          </w:tcPr>
          <w:p>
            <w:pPr>
              <w:jc w:val="center"/>
              <w:rPr>
                <w:rFonts w:ascii="仿宋" w:hAnsi="仿宋" w:eastAsia="仿宋" w:cs="仿宋"/>
                <w:sz w:val="24"/>
              </w:rPr>
            </w:pP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2</w:t>
            </w:r>
          </w:p>
        </w:tc>
        <w:tc>
          <w:tcPr>
            <w:tcW w:w="1539" w:type="dxa"/>
            <w:noWrap w:val="0"/>
            <w:vAlign w:val="center"/>
          </w:tcPr>
          <w:p>
            <w:pPr>
              <w:jc w:val="center"/>
              <w:rPr>
                <w:rFonts w:ascii="仿宋" w:hAnsi="仿宋" w:eastAsia="仿宋" w:cs="仿宋"/>
                <w:sz w:val="24"/>
              </w:rPr>
            </w:pP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3</w:t>
            </w:r>
          </w:p>
        </w:tc>
        <w:tc>
          <w:tcPr>
            <w:tcW w:w="1539" w:type="dxa"/>
            <w:noWrap w:val="0"/>
            <w:vAlign w:val="center"/>
          </w:tcPr>
          <w:p>
            <w:pPr>
              <w:jc w:val="center"/>
              <w:rPr>
                <w:rFonts w:ascii="仿宋" w:hAnsi="仿宋" w:eastAsia="仿宋" w:cs="仿宋"/>
                <w:sz w:val="24"/>
              </w:rPr>
            </w:pP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4</w:t>
            </w:r>
          </w:p>
        </w:tc>
        <w:tc>
          <w:tcPr>
            <w:tcW w:w="1539" w:type="dxa"/>
            <w:noWrap w:val="0"/>
            <w:vAlign w:val="center"/>
          </w:tcPr>
          <w:p>
            <w:pPr>
              <w:jc w:val="center"/>
              <w:rPr>
                <w:rFonts w:ascii="仿宋" w:hAnsi="仿宋" w:eastAsia="仿宋" w:cs="仿宋"/>
                <w:sz w:val="24"/>
              </w:rPr>
            </w:pP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5</w:t>
            </w:r>
          </w:p>
        </w:tc>
        <w:tc>
          <w:tcPr>
            <w:tcW w:w="1539" w:type="dxa"/>
            <w:noWrap w:val="0"/>
            <w:vAlign w:val="center"/>
          </w:tcPr>
          <w:p>
            <w:pPr>
              <w:jc w:val="center"/>
              <w:rPr>
                <w:rFonts w:ascii="仿宋" w:hAnsi="仿宋" w:eastAsia="仿宋" w:cs="仿宋"/>
                <w:sz w:val="24"/>
              </w:rPr>
            </w:pP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 w:type="dxa"/>
            <w:noWrap w:val="0"/>
            <w:vAlign w:val="center"/>
          </w:tcPr>
          <w:p>
            <w:pPr>
              <w:jc w:val="center"/>
              <w:rPr>
                <w:rFonts w:ascii="仿宋" w:hAnsi="仿宋" w:eastAsia="仿宋" w:cs="仿宋"/>
                <w:sz w:val="24"/>
              </w:rPr>
            </w:pPr>
            <w:r>
              <w:rPr>
                <w:rFonts w:hint="eastAsia" w:ascii="仿宋" w:hAnsi="仿宋" w:eastAsia="仿宋" w:cs="仿宋"/>
                <w:sz w:val="24"/>
              </w:rPr>
              <w:t>6</w:t>
            </w:r>
          </w:p>
        </w:tc>
        <w:tc>
          <w:tcPr>
            <w:tcW w:w="1539" w:type="dxa"/>
            <w:noWrap w:val="0"/>
            <w:vAlign w:val="center"/>
          </w:tcPr>
          <w:p>
            <w:pPr>
              <w:jc w:val="center"/>
              <w:rPr>
                <w:rFonts w:ascii="仿宋" w:hAnsi="仿宋" w:eastAsia="仿宋" w:cs="仿宋"/>
                <w:sz w:val="24"/>
              </w:rPr>
            </w:pPr>
            <w:r>
              <w:rPr>
                <w:rFonts w:hint="eastAsia" w:ascii="仿宋" w:hAnsi="仿宋" w:eastAsia="仿宋" w:cs="仿宋"/>
                <w:sz w:val="24"/>
              </w:rPr>
              <w:t>全镇合计</w:t>
            </w:r>
          </w:p>
        </w:tc>
        <w:tc>
          <w:tcPr>
            <w:tcW w:w="1161" w:type="dxa"/>
            <w:noWrap w:val="0"/>
            <w:vAlign w:val="center"/>
          </w:tcPr>
          <w:p>
            <w:pPr>
              <w:jc w:val="center"/>
              <w:rPr>
                <w:rFonts w:ascii="仿宋" w:hAnsi="仿宋" w:eastAsia="仿宋" w:cs="仿宋"/>
                <w:sz w:val="24"/>
              </w:rPr>
            </w:pPr>
          </w:p>
        </w:tc>
        <w:tc>
          <w:tcPr>
            <w:tcW w:w="1162" w:type="dxa"/>
            <w:noWrap w:val="0"/>
            <w:vAlign w:val="center"/>
          </w:tcPr>
          <w:p>
            <w:pPr>
              <w:jc w:val="center"/>
              <w:rPr>
                <w:rFonts w:ascii="仿宋" w:hAnsi="仿宋" w:eastAsia="仿宋" w:cs="仿宋"/>
                <w:sz w:val="24"/>
              </w:rPr>
            </w:pPr>
          </w:p>
        </w:tc>
        <w:tc>
          <w:tcPr>
            <w:tcW w:w="2235" w:type="dxa"/>
            <w:noWrap w:val="0"/>
            <w:vAlign w:val="center"/>
          </w:tcPr>
          <w:p>
            <w:pPr>
              <w:jc w:val="center"/>
              <w:rPr>
                <w:rFonts w:ascii="仿宋" w:hAnsi="仿宋" w:eastAsia="仿宋" w:cs="仿宋"/>
                <w:sz w:val="24"/>
              </w:rPr>
            </w:pPr>
          </w:p>
        </w:tc>
        <w:tc>
          <w:tcPr>
            <w:tcW w:w="1866" w:type="dxa"/>
            <w:noWrap w:val="0"/>
            <w:vAlign w:val="center"/>
          </w:tcPr>
          <w:p>
            <w:pPr>
              <w:jc w:val="center"/>
              <w:rPr>
                <w:rFonts w:ascii="仿宋" w:hAnsi="仿宋" w:eastAsia="仿宋" w:cs="仿宋"/>
                <w:sz w:val="24"/>
              </w:rPr>
            </w:pPr>
          </w:p>
        </w:tc>
        <w:tc>
          <w:tcPr>
            <w:tcW w:w="1459" w:type="dxa"/>
            <w:noWrap w:val="0"/>
            <w:vAlign w:val="center"/>
          </w:tcPr>
          <w:p>
            <w:pPr>
              <w:jc w:val="center"/>
              <w:rPr>
                <w:rFonts w:ascii="仿宋" w:hAnsi="仿宋" w:eastAsia="仿宋" w:cs="仿宋"/>
                <w:sz w:val="24"/>
              </w:rPr>
            </w:pPr>
          </w:p>
        </w:tc>
        <w:tc>
          <w:tcPr>
            <w:tcW w:w="1524" w:type="dxa"/>
            <w:noWrap w:val="0"/>
            <w:vAlign w:val="center"/>
          </w:tcPr>
          <w:p>
            <w:pPr>
              <w:jc w:val="center"/>
              <w:rPr>
                <w:rFonts w:ascii="仿宋" w:hAnsi="仿宋" w:eastAsia="仿宋" w:cs="仿宋"/>
                <w:sz w:val="24"/>
              </w:rPr>
            </w:pPr>
          </w:p>
        </w:tc>
        <w:tc>
          <w:tcPr>
            <w:tcW w:w="1200" w:type="dxa"/>
            <w:noWrap w:val="0"/>
            <w:vAlign w:val="center"/>
          </w:tcPr>
          <w:p>
            <w:pPr>
              <w:jc w:val="center"/>
              <w:rPr>
                <w:rFonts w:ascii="仿宋" w:hAnsi="仿宋" w:eastAsia="仿宋" w:cs="仿宋"/>
                <w:sz w:val="24"/>
              </w:rPr>
            </w:pPr>
          </w:p>
        </w:tc>
        <w:tc>
          <w:tcPr>
            <w:tcW w:w="1410" w:type="dxa"/>
            <w:noWrap w:val="0"/>
            <w:vAlign w:val="center"/>
          </w:tcPr>
          <w:p>
            <w:pPr>
              <w:jc w:val="center"/>
              <w:rPr>
                <w:rFonts w:ascii="仿宋" w:hAnsi="仿宋" w:eastAsia="仿宋" w:cs="仿宋"/>
                <w:sz w:val="24"/>
              </w:rPr>
            </w:pPr>
          </w:p>
        </w:tc>
      </w:tr>
    </w:tbl>
    <w:p>
      <w:pPr>
        <w:jc w:val="left"/>
        <w:rPr>
          <w:rFonts w:ascii="仿宋" w:hAnsi="仿宋" w:eastAsia="仿宋" w:cs="仿宋"/>
          <w:sz w:val="32"/>
          <w:szCs w:val="32"/>
        </w:rPr>
      </w:pPr>
      <w:r>
        <w:rPr>
          <w:rFonts w:hint="eastAsia" w:ascii="仿宋" w:hAnsi="仿宋" w:eastAsia="仿宋" w:cs="仿宋"/>
          <w:sz w:val="32"/>
          <w:szCs w:val="32"/>
        </w:rPr>
        <w:t>经办人签字：              镇（街）农办主任签字：               分管领导签字：</w:t>
      </w:r>
    </w:p>
    <w:p>
      <w:pPr>
        <w:jc w:val="left"/>
        <w:rPr>
          <w:rFonts w:ascii="仿宋" w:hAnsi="仿宋" w:eastAsia="仿宋" w:cs="仿宋"/>
          <w:sz w:val="32"/>
          <w:szCs w:val="32"/>
        </w:rPr>
        <w:sectPr>
          <w:pgSz w:w="16838" w:h="11906" w:orient="landscape"/>
          <w:pgMar w:top="1803" w:right="1440" w:bottom="1803" w:left="1440" w:header="851" w:footer="992" w:gutter="0"/>
          <w:pgNumType w:fmt="decimal"/>
          <w:cols w:space="0" w:num="1"/>
          <w:docGrid w:type="lines" w:linePitch="319" w:charSpace="0"/>
        </w:sectPr>
      </w:pPr>
    </w:p>
    <w:p>
      <w:pPr>
        <w:rPr>
          <w:rFonts w:ascii="仿宋" w:hAnsi="仿宋" w:eastAsia="仿宋" w:cs="仿宋"/>
          <w:sz w:val="32"/>
          <w:szCs w:val="32"/>
        </w:rPr>
      </w:pPr>
      <w:r>
        <w:rPr>
          <w:rFonts w:hint="eastAsia" w:ascii="仿宋" w:hAnsi="仿宋" w:eastAsia="仿宋" w:cs="仿宋"/>
          <w:sz w:val="32"/>
          <w:szCs w:val="32"/>
        </w:rPr>
        <w:t>附件5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2021年新会区水稻病虫害统防统治项目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实施协议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
          <w:sz w:val="32"/>
          <w:szCs w:val="32"/>
          <w:highlight w:val="none"/>
        </w:rPr>
      </w:pPr>
      <w:r>
        <w:rPr>
          <w:rFonts w:hint="eastAsia" w:ascii="仿宋" w:hAnsi="仿宋" w:eastAsia="仿宋" w:cs="仿宋"/>
          <w:sz w:val="32"/>
          <w:szCs w:val="32"/>
          <w:highlight w:val="none"/>
        </w:rPr>
        <w:t>（参考样本）</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甲方：镇（街）农业农村办公室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乙方：村委会（含参与农户）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rPr>
          <w:rFonts w:ascii="仿宋" w:hAnsi="仿宋" w:eastAsia="仿宋" w:cs="仿宋"/>
          <w:sz w:val="32"/>
          <w:szCs w:val="32"/>
        </w:rPr>
      </w:pPr>
      <w:r>
        <w:rPr>
          <w:rFonts w:hint="eastAsia" w:ascii="仿宋" w:hAnsi="仿宋" w:eastAsia="仿宋" w:cs="仿宋"/>
          <w:sz w:val="32"/>
          <w:szCs w:val="32"/>
        </w:rPr>
        <w:t xml:space="preserve">    为切实实施好2021年新会区水稻病虫害统防统治项目工作，按《2021年新会区水稻病虫害统防统治项目实施方案》等要求，结合实际，经甲乙双方商议，协议如下：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b/>
          <w:sz w:val="32"/>
          <w:szCs w:val="32"/>
        </w:rPr>
      </w:pPr>
      <w:r>
        <w:rPr>
          <w:rFonts w:hint="eastAsia" w:ascii="仿宋" w:hAnsi="仿宋" w:eastAsia="仿宋" w:cs="仿宋"/>
          <w:sz w:val="32"/>
          <w:szCs w:val="32"/>
        </w:rPr>
        <w:t>一、实施面积与区域。乙方自愿参加2021年新会区水稻病虫害统防统治项目，同意将本村2021年晚造共</w:t>
      </w:r>
      <w:r>
        <w:rPr>
          <w:rFonts w:hint="eastAsia" w:ascii="仿宋" w:hAnsi="仿宋" w:eastAsia="仿宋" w:cs="仿宋"/>
          <w:sz w:val="32"/>
          <w:szCs w:val="32"/>
          <w:u w:val="single"/>
        </w:rPr>
        <w:t xml:space="preserve">  </w:t>
      </w:r>
      <w:r>
        <w:rPr>
          <w:rFonts w:hint="eastAsia" w:ascii="仿宋" w:hAnsi="仿宋" w:eastAsia="仿宋" w:cs="仿宋"/>
          <w:sz w:val="32"/>
          <w:szCs w:val="32"/>
        </w:rPr>
        <w:t>亩</w:t>
      </w:r>
      <w:r>
        <w:rPr>
          <w:rFonts w:hint="eastAsia" w:ascii="仿宋" w:hAnsi="仿宋" w:eastAsia="仿宋" w:cs="仿宋"/>
          <w:sz w:val="32"/>
          <w:szCs w:val="32"/>
          <w:u w:val="single"/>
        </w:rPr>
        <w:t xml:space="preserve">        </w:t>
      </w:r>
      <w:r>
        <w:rPr>
          <w:rFonts w:hint="eastAsia" w:ascii="仿宋" w:hAnsi="仿宋" w:eastAsia="仿宋" w:cs="仿宋"/>
          <w:sz w:val="32"/>
          <w:szCs w:val="32"/>
        </w:rPr>
        <w:t>面积进行2021年新会区水稻病虫害统防统治项目的</w:t>
      </w:r>
      <w:r>
        <w:rPr>
          <w:rFonts w:hint="eastAsia" w:ascii="仿宋" w:hAnsi="仿宋" w:eastAsia="仿宋" w:cs="仿宋"/>
          <w:sz w:val="32"/>
          <w:szCs w:val="32"/>
          <w:u w:val="single"/>
        </w:rPr>
        <w:t xml:space="preserve">     </w:t>
      </w:r>
      <w:r>
        <w:rPr>
          <w:rFonts w:hint="eastAsia" w:ascii="仿宋" w:hAnsi="仿宋" w:eastAsia="仿宋" w:cs="仿宋"/>
          <w:sz w:val="32"/>
          <w:szCs w:val="32"/>
        </w:rPr>
        <w:t>，涉及参与农户共</w:t>
      </w:r>
      <w:r>
        <w:rPr>
          <w:rFonts w:hint="eastAsia" w:ascii="仿宋" w:hAnsi="仿宋" w:eastAsia="仿宋" w:cs="仿宋"/>
          <w:sz w:val="32"/>
          <w:szCs w:val="32"/>
          <w:u w:val="single"/>
        </w:rPr>
        <w:t xml:space="preserve">     </w:t>
      </w:r>
      <w:r>
        <w:rPr>
          <w:rFonts w:hint="eastAsia" w:ascii="仿宋" w:hAnsi="仿宋" w:eastAsia="仿宋" w:cs="仿宋"/>
          <w:sz w:val="32"/>
          <w:szCs w:val="32"/>
        </w:rPr>
        <w:t>户。详见《2021年新会区</w:t>
      </w:r>
      <w:r>
        <w:rPr>
          <w:rFonts w:hint="eastAsia" w:ascii="仿宋" w:hAnsi="仿宋" w:eastAsia="仿宋" w:cs="仿宋"/>
          <w:sz w:val="32"/>
          <w:szCs w:val="32"/>
          <w:u w:val="single"/>
        </w:rPr>
        <w:t xml:space="preserve">   </w:t>
      </w:r>
      <w:r>
        <w:rPr>
          <w:rFonts w:hint="eastAsia" w:ascii="仿宋" w:hAnsi="仿宋" w:eastAsia="仿宋" w:cs="仿宋"/>
          <w:sz w:val="32"/>
          <w:szCs w:val="32"/>
        </w:rPr>
        <w:t>登记清册》。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二、实施期限。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2021晚造（2021年7月至2021年11月）。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三、实施方式。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（一）在项目实施过程中，乙方同意由区农业农村局确定的中标供应商，按《2021年新会区水稻病虫害统防统治项目实施方案》和社会化服务事项指标，对乙方开展社会化服务。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（二）乙方同意配合甲方和中标供应商推进项目建设。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（三）乙方同意与甲方和中标供应商，围绕“农药减量增效”的原则共同商定防控药剂，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四、本协议自甲乙双方签字或盖章之日起生效。项目实施期间因国家政策发生重大变化或调整导致不能执行本协议的，本协议自然终止或解除。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五、本协议一式六份，甲方、乙方各执</w:t>
      </w:r>
      <w:r>
        <w:rPr>
          <w:rFonts w:hint="eastAsia" w:ascii="仿宋" w:hAnsi="仿宋" w:eastAsia="仿宋" w:cs="仿宋"/>
          <w:sz w:val="32"/>
          <w:szCs w:val="32"/>
          <w:u w:val="single"/>
        </w:rPr>
        <w:t>1</w:t>
      </w:r>
      <w:r>
        <w:rPr>
          <w:rFonts w:hint="eastAsia" w:ascii="仿宋" w:hAnsi="仿宋" w:eastAsia="仿宋" w:cs="仿宋"/>
          <w:sz w:val="32"/>
          <w:szCs w:val="32"/>
        </w:rPr>
        <w:t>份，协议文本在本村、镇（街）、中标供应商和区农业农村局存档备查。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六、未尽事宜，甲乙双方协商解决。</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甲方：（盖章）                 乙方：（盖章）</w:t>
      </w:r>
    </w:p>
    <w:p>
      <w:pPr>
        <w:keepNext w:val="0"/>
        <w:keepLines w:val="0"/>
        <w:pageBreakBefore w:val="0"/>
        <w:widowControl w:val="0"/>
        <w:kinsoku/>
        <w:wordWrap/>
        <w:overflowPunct/>
        <w:topLinePunct w:val="0"/>
        <w:autoSpaceDE/>
        <w:autoSpaceDN/>
        <w:bidi w:val="0"/>
        <w:adjustRightInd w:val="0"/>
        <w:snapToGrid w:val="0"/>
        <w:spacing w:line="560" w:lineRule="exact"/>
        <w:ind w:left="5120" w:hanging="5120" w:hangingChars="1600"/>
        <w:textAlignment w:val="auto"/>
        <w:rPr>
          <w:rFonts w:ascii="仿宋" w:hAnsi="仿宋" w:eastAsia="仿宋" w:cs="仿宋"/>
          <w:sz w:val="32"/>
          <w:szCs w:val="32"/>
        </w:rPr>
      </w:pPr>
      <w:r>
        <w:rPr>
          <w:rFonts w:hint="eastAsia" w:ascii="仿宋" w:hAnsi="仿宋" w:eastAsia="仿宋" w:cs="仿宋"/>
          <w:sz w:val="32"/>
          <w:szCs w:val="32"/>
        </w:rPr>
        <w:t>甲方主任签名：                乙方村主任签名：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日期：                        日期：</w:t>
      </w:r>
    </w:p>
    <w:p>
      <w:pPr>
        <w:widowControl/>
        <w:shd w:val="clear" w:color="auto" w:fill="FFFFFF"/>
        <w:spacing w:line="450" w:lineRule="atLeast"/>
        <w:jc w:val="left"/>
        <w:rPr>
          <w:rFonts w:ascii="仿宋" w:hAnsi="仿宋" w:eastAsia="仿宋" w:cs="仿宋"/>
          <w:kern w:val="0"/>
          <w:sz w:val="32"/>
          <w:szCs w:val="32"/>
        </w:rPr>
      </w:pPr>
    </w:p>
    <w:p>
      <w:pPr>
        <w:pStyle w:val="3"/>
        <w:rPr>
          <w:rFonts w:ascii="仿宋" w:hAnsi="仿宋" w:eastAsia="仿宋" w:cs="仿宋"/>
          <w:sz w:val="32"/>
          <w:szCs w:val="32"/>
        </w:rPr>
      </w:pPr>
    </w:p>
    <w:p>
      <w:pPr>
        <w:pStyle w:val="3"/>
        <w:ind w:firstLine="640" w:firstLineChars="200"/>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_GB2312" w:hAnsi="仿宋" w:eastAsia="仿宋_GB2312" w:cs="仿宋"/>
          <w:sz w:val="32"/>
          <w:szCs w:val="32"/>
          <w:highlight w:val="cyan"/>
        </w:rPr>
      </w:pPr>
    </w:p>
    <w:p>
      <w:pPr>
        <w:pStyle w:val="3"/>
        <w:rPr>
          <w:rFonts w:ascii="仿宋" w:hAnsi="仿宋" w:eastAsia="仿宋" w:cs="仿宋"/>
          <w:sz w:val="32"/>
          <w:szCs w:val="32"/>
        </w:rPr>
      </w:pPr>
      <w:r>
        <w:rPr>
          <w:rFonts w:hint="eastAsia" w:ascii="仿宋" w:hAnsi="仿宋" w:eastAsia="仿宋" w:cs="仿宋"/>
          <w:sz w:val="32"/>
          <w:szCs w:val="32"/>
        </w:rPr>
        <w:t>附件6</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sz w:val="40"/>
          <w:szCs w:val="40"/>
        </w:rPr>
        <w:t>2021年新会区</w:t>
      </w:r>
      <w:r>
        <w:rPr>
          <w:rFonts w:hint="eastAsia" w:ascii="方正小标宋简体" w:hAnsi="方正小标宋简体" w:eastAsia="方正小标宋简体" w:cs="方正小标宋简体"/>
          <w:b w:val="0"/>
          <w:bCs w:val="0"/>
          <w:color w:val="000000"/>
          <w:sz w:val="40"/>
          <w:szCs w:val="40"/>
        </w:rPr>
        <w:t>水稻病虫危害损失率、农药利用率</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color w:val="000000"/>
          <w:sz w:val="40"/>
          <w:szCs w:val="40"/>
        </w:rPr>
        <w:t>和农药包装废弃物回收率提升情况调查表</w:t>
      </w:r>
    </w:p>
    <w:p>
      <w:pPr>
        <w:pStyle w:val="3"/>
        <w:rPr>
          <w:rFonts w:hint="eastAsia" w:ascii="方正小标宋简体" w:hAnsi="方正小标宋简体" w:eastAsia="方正小标宋简体" w:cs="方正小标宋简体"/>
          <w:sz w:val="44"/>
          <w:szCs w:val="44"/>
          <w:u w:val="single"/>
        </w:rPr>
      </w:pPr>
    </w:p>
    <w:p>
      <w:pPr>
        <w:pStyle w:val="3"/>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color w:val="000000"/>
          <w:sz w:val="32"/>
          <w:szCs w:val="32"/>
        </w:rPr>
        <w:t>镇（街）</w:t>
      </w:r>
      <w:r>
        <w:rPr>
          <w:rFonts w:hint="eastAsia" w:ascii="仿宋" w:hAnsi="仿宋" w:eastAsia="仿宋" w:cs="仿宋"/>
          <w:sz w:val="32"/>
          <w:szCs w:val="32"/>
        </w:rPr>
        <w:t>农业农村办公室（公章）</w:t>
      </w:r>
    </w:p>
    <w:tbl>
      <w:tblPr>
        <w:tblStyle w:val="10"/>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016"/>
        <w:gridCol w:w="1843"/>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shd w:val="clear" w:color="auto" w:fill="auto"/>
            <w:noWrap w:val="0"/>
            <w:vAlign w:val="center"/>
          </w:tcPr>
          <w:p>
            <w:pPr>
              <w:pStyle w:val="3"/>
              <w:ind w:firstLine="320"/>
              <w:jc w:val="center"/>
              <w:rPr>
                <w:rFonts w:ascii="仿宋" w:hAnsi="仿宋" w:eastAsia="仿宋" w:cs="仿宋"/>
                <w:color w:val="000000"/>
                <w:sz w:val="32"/>
                <w:szCs w:val="32"/>
              </w:rPr>
            </w:pPr>
            <w:r>
              <w:rPr>
                <w:rFonts w:hint="eastAsia" w:ascii="仿宋" w:hAnsi="仿宋" w:eastAsia="仿宋" w:cs="仿宋"/>
                <w:color w:val="000000"/>
                <w:sz w:val="32"/>
                <w:szCs w:val="32"/>
              </w:rPr>
              <w:t>全年水稻病虫危害损失率%）</w:t>
            </w:r>
          </w:p>
        </w:tc>
        <w:tc>
          <w:tcPr>
            <w:tcW w:w="2016" w:type="dxa"/>
            <w:vMerge w:val="restart"/>
            <w:shd w:val="clear" w:color="auto" w:fill="auto"/>
            <w:noWrap w:val="0"/>
            <w:vAlign w:val="center"/>
          </w:tcPr>
          <w:p>
            <w:pPr>
              <w:pStyle w:val="3"/>
              <w:ind w:firstLine="320"/>
              <w:jc w:val="center"/>
              <w:rPr>
                <w:rFonts w:ascii="仿宋" w:hAnsi="仿宋" w:eastAsia="仿宋" w:cs="仿宋"/>
                <w:color w:val="000000"/>
                <w:sz w:val="32"/>
                <w:szCs w:val="32"/>
              </w:rPr>
            </w:pPr>
            <w:r>
              <w:rPr>
                <w:rFonts w:hint="eastAsia" w:ascii="仿宋" w:hAnsi="仿宋" w:eastAsia="仿宋" w:cs="仿宋"/>
                <w:color w:val="000000"/>
                <w:sz w:val="32"/>
                <w:szCs w:val="32"/>
              </w:rPr>
              <w:t>1-10月农药利用率（%)</w:t>
            </w:r>
          </w:p>
        </w:tc>
        <w:tc>
          <w:tcPr>
            <w:tcW w:w="4320" w:type="dxa"/>
            <w:gridSpan w:val="2"/>
            <w:shd w:val="clear" w:color="auto" w:fill="auto"/>
            <w:noWrap w:val="0"/>
            <w:vAlign w:val="center"/>
          </w:tcPr>
          <w:p>
            <w:pPr>
              <w:pStyle w:val="3"/>
              <w:ind w:firstLine="320"/>
              <w:jc w:val="center"/>
              <w:rPr>
                <w:rFonts w:ascii="仿宋" w:hAnsi="仿宋" w:eastAsia="仿宋" w:cs="仿宋"/>
                <w:color w:val="000000"/>
                <w:sz w:val="32"/>
                <w:szCs w:val="32"/>
              </w:rPr>
            </w:pPr>
            <w:r>
              <w:rPr>
                <w:rFonts w:hint="eastAsia" w:ascii="仿宋" w:hAnsi="仿宋" w:eastAsia="仿宋" w:cs="仿宋"/>
                <w:color w:val="000000"/>
                <w:sz w:val="32"/>
                <w:szCs w:val="32"/>
              </w:rPr>
              <w:t>1-10月农药包装废弃物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463" w:type="dxa"/>
            <w:vMerge w:val="continue"/>
            <w:shd w:val="clear" w:color="auto" w:fill="auto"/>
            <w:noWrap w:val="0"/>
            <w:vAlign w:val="center"/>
          </w:tcPr>
          <w:p>
            <w:pPr>
              <w:pStyle w:val="3"/>
              <w:ind w:firstLine="320"/>
              <w:jc w:val="center"/>
              <w:rPr>
                <w:rFonts w:ascii="仿宋" w:hAnsi="仿宋" w:eastAsia="仿宋" w:cs="仿宋"/>
                <w:color w:val="000000"/>
                <w:sz w:val="32"/>
                <w:szCs w:val="32"/>
              </w:rPr>
            </w:pPr>
          </w:p>
        </w:tc>
        <w:tc>
          <w:tcPr>
            <w:tcW w:w="2016" w:type="dxa"/>
            <w:vMerge w:val="continue"/>
            <w:shd w:val="clear" w:color="auto" w:fill="auto"/>
            <w:noWrap w:val="0"/>
            <w:vAlign w:val="center"/>
          </w:tcPr>
          <w:p>
            <w:pPr>
              <w:pStyle w:val="3"/>
              <w:ind w:firstLine="320"/>
              <w:jc w:val="center"/>
              <w:rPr>
                <w:rFonts w:ascii="仿宋" w:hAnsi="仿宋" w:eastAsia="仿宋" w:cs="仿宋"/>
                <w:color w:val="000000"/>
                <w:sz w:val="32"/>
                <w:szCs w:val="32"/>
              </w:rPr>
            </w:pPr>
          </w:p>
        </w:tc>
        <w:tc>
          <w:tcPr>
            <w:tcW w:w="1843" w:type="dxa"/>
            <w:shd w:val="clear" w:color="auto" w:fill="auto"/>
            <w:noWrap w:val="0"/>
            <w:vAlign w:val="center"/>
          </w:tcPr>
          <w:p>
            <w:pPr>
              <w:pStyle w:val="3"/>
              <w:ind w:firstLine="320"/>
              <w:jc w:val="center"/>
              <w:rPr>
                <w:rFonts w:ascii="仿宋" w:hAnsi="仿宋" w:eastAsia="仿宋" w:cs="仿宋"/>
                <w:color w:val="000000"/>
                <w:sz w:val="32"/>
                <w:szCs w:val="32"/>
              </w:rPr>
            </w:pPr>
            <w:r>
              <w:rPr>
                <w:rFonts w:hint="eastAsia" w:ascii="仿宋" w:hAnsi="仿宋" w:eastAsia="仿宋" w:cs="仿宋"/>
                <w:color w:val="000000"/>
                <w:sz w:val="32"/>
                <w:szCs w:val="32"/>
              </w:rPr>
              <w:t>回收率(%)</w:t>
            </w:r>
          </w:p>
        </w:tc>
        <w:tc>
          <w:tcPr>
            <w:tcW w:w="2477" w:type="dxa"/>
            <w:shd w:val="clear" w:color="auto" w:fill="auto"/>
            <w:noWrap w:val="0"/>
            <w:vAlign w:val="center"/>
          </w:tcPr>
          <w:p>
            <w:pPr>
              <w:pStyle w:val="3"/>
              <w:ind w:firstLine="320"/>
              <w:jc w:val="center"/>
              <w:rPr>
                <w:rFonts w:ascii="仿宋" w:hAnsi="仿宋" w:eastAsia="仿宋" w:cs="仿宋"/>
                <w:color w:val="000000"/>
                <w:sz w:val="32"/>
                <w:szCs w:val="32"/>
              </w:rPr>
            </w:pPr>
            <w:r>
              <w:rPr>
                <w:rFonts w:hint="eastAsia" w:ascii="仿宋" w:hAnsi="仿宋" w:eastAsia="仿宋" w:cs="仿宋"/>
                <w:color w:val="000000"/>
                <w:sz w:val="32"/>
                <w:szCs w:val="32"/>
              </w:rPr>
              <w:t>同比去年增加%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463" w:type="dxa"/>
            <w:shd w:val="clear" w:color="auto" w:fill="auto"/>
            <w:noWrap w:val="0"/>
            <w:vAlign w:val="center"/>
          </w:tcPr>
          <w:p>
            <w:pPr>
              <w:pStyle w:val="3"/>
              <w:ind w:firstLine="320"/>
              <w:jc w:val="center"/>
              <w:rPr>
                <w:rFonts w:ascii="仿宋" w:hAnsi="仿宋" w:eastAsia="仿宋" w:cs="仿宋"/>
                <w:color w:val="000000"/>
                <w:sz w:val="32"/>
                <w:szCs w:val="32"/>
              </w:rPr>
            </w:pPr>
          </w:p>
        </w:tc>
        <w:tc>
          <w:tcPr>
            <w:tcW w:w="2016" w:type="dxa"/>
            <w:shd w:val="clear" w:color="auto" w:fill="auto"/>
            <w:noWrap w:val="0"/>
            <w:vAlign w:val="center"/>
          </w:tcPr>
          <w:p>
            <w:pPr>
              <w:pStyle w:val="3"/>
              <w:ind w:firstLine="320"/>
              <w:jc w:val="center"/>
              <w:rPr>
                <w:rFonts w:ascii="仿宋" w:hAnsi="仿宋" w:eastAsia="仿宋" w:cs="仿宋"/>
                <w:color w:val="000000"/>
                <w:sz w:val="32"/>
                <w:szCs w:val="32"/>
              </w:rPr>
            </w:pPr>
          </w:p>
        </w:tc>
        <w:tc>
          <w:tcPr>
            <w:tcW w:w="1843" w:type="dxa"/>
            <w:shd w:val="clear" w:color="auto" w:fill="auto"/>
            <w:noWrap w:val="0"/>
            <w:vAlign w:val="center"/>
          </w:tcPr>
          <w:p>
            <w:pPr>
              <w:pStyle w:val="3"/>
              <w:ind w:firstLine="320"/>
              <w:jc w:val="center"/>
              <w:rPr>
                <w:rFonts w:ascii="仿宋" w:hAnsi="仿宋" w:eastAsia="仿宋" w:cs="仿宋"/>
                <w:color w:val="000000"/>
                <w:sz w:val="32"/>
                <w:szCs w:val="32"/>
              </w:rPr>
            </w:pPr>
          </w:p>
        </w:tc>
        <w:tc>
          <w:tcPr>
            <w:tcW w:w="2477" w:type="dxa"/>
            <w:shd w:val="clear" w:color="auto" w:fill="auto"/>
            <w:noWrap w:val="0"/>
            <w:vAlign w:val="center"/>
          </w:tcPr>
          <w:p>
            <w:pPr>
              <w:pStyle w:val="3"/>
              <w:ind w:firstLine="320"/>
              <w:jc w:val="center"/>
              <w:rPr>
                <w:rFonts w:ascii="仿宋" w:hAnsi="仿宋" w:eastAsia="仿宋" w:cs="仿宋"/>
                <w:color w:val="000000"/>
                <w:sz w:val="32"/>
                <w:szCs w:val="32"/>
              </w:rPr>
            </w:pPr>
          </w:p>
        </w:tc>
      </w:tr>
    </w:tbl>
    <w:p>
      <w:pPr>
        <w:pStyle w:val="3"/>
        <w:ind w:left="640" w:hanging="640" w:hangingChars="200"/>
        <w:rPr>
          <w:rFonts w:ascii="仿宋_GB2312" w:hAnsi="仿宋" w:eastAsia="仿宋_GB2312"/>
          <w:sz w:val="32"/>
          <w:szCs w:val="32"/>
        </w:rPr>
      </w:pPr>
      <w:r>
        <w:rPr>
          <w:rFonts w:hint="eastAsia" w:ascii="仿宋" w:hAnsi="仿宋" w:eastAsia="仿宋" w:cs="仿宋"/>
          <w:sz w:val="32"/>
          <w:szCs w:val="32"/>
        </w:rPr>
        <w:t>注：此表的具体绩效目标见</w:t>
      </w:r>
      <w:r>
        <w:rPr>
          <w:rFonts w:hint="eastAsia" w:ascii="仿宋_GB2312" w:hAnsi="仿宋" w:eastAsia="仿宋_GB2312"/>
          <w:sz w:val="32"/>
          <w:szCs w:val="32"/>
        </w:rPr>
        <w:t>《2021年新会区水稻病虫害统防统治</w:t>
      </w:r>
      <w:r>
        <w:rPr>
          <w:rFonts w:hint="eastAsia" w:ascii="仿宋" w:hAnsi="仿宋" w:eastAsia="仿宋" w:cs="仿宋"/>
          <w:sz w:val="32"/>
          <w:szCs w:val="32"/>
        </w:rPr>
        <w:t>项目</w:t>
      </w:r>
      <w:r>
        <w:rPr>
          <w:rFonts w:hint="eastAsia" w:ascii="仿宋_GB2312" w:hAnsi="仿宋" w:eastAsia="仿宋_GB2312"/>
          <w:sz w:val="32"/>
          <w:szCs w:val="32"/>
        </w:rPr>
        <w:t>实施方案》。</w:t>
      </w:r>
    </w:p>
    <w:p>
      <w:pPr>
        <w:pStyle w:val="3"/>
        <w:ind w:left="640" w:hanging="640" w:hangingChars="200"/>
        <w:rPr>
          <w:rFonts w:ascii="仿宋_GB2312" w:hAnsi="仿宋" w:eastAsia="仿宋_GB2312"/>
          <w:sz w:val="32"/>
          <w:szCs w:val="32"/>
        </w:rPr>
      </w:pPr>
    </w:p>
    <w:p>
      <w:pPr>
        <w:pStyle w:val="3"/>
        <w:ind w:left="640" w:hanging="640" w:hangingChars="200"/>
        <w:rPr>
          <w:rFonts w:ascii="仿宋_GB2312" w:hAnsi="仿宋" w:eastAsia="仿宋_GB2312"/>
          <w:sz w:val="32"/>
          <w:szCs w:val="32"/>
        </w:rPr>
      </w:pPr>
      <w:r>
        <w:rPr>
          <w:rFonts w:hint="eastAsia" w:ascii="仿宋_GB2312" w:hAnsi="仿宋" w:eastAsia="仿宋_GB2312"/>
          <w:sz w:val="32"/>
          <w:szCs w:val="32"/>
        </w:rPr>
        <w:t xml:space="preserve"> </w:t>
      </w:r>
    </w:p>
    <w:p>
      <w:pPr>
        <w:pStyle w:val="3"/>
        <w:rPr>
          <w:rFonts w:ascii="仿宋_GB2312" w:hAnsi="仿宋" w:eastAsia="仿宋_GB2312" w:cs="仿宋"/>
          <w:sz w:val="32"/>
          <w:szCs w:val="32"/>
        </w:rPr>
      </w:pPr>
      <w:r>
        <w:rPr>
          <w:rFonts w:hint="eastAsia" w:ascii="仿宋_GB2312" w:hAnsi="仿宋" w:eastAsia="仿宋_GB2312" w:cs="仿宋"/>
          <w:sz w:val="32"/>
          <w:szCs w:val="32"/>
        </w:rPr>
        <w:t xml:space="preserve">                          填报日期：2021年  月  日   </w:t>
      </w:r>
    </w:p>
    <w:p>
      <w:pPr>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spacing w:line="60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公开方式：</w:t>
      </w:r>
      <w:r>
        <w:rPr>
          <w:rFonts w:hint="eastAsia" w:ascii="仿宋" w:hAnsi="仿宋" w:eastAsia="仿宋" w:cs="仿宋"/>
          <w:sz w:val="32"/>
          <w:szCs w:val="32"/>
          <w:lang w:val="en-US" w:eastAsia="zh-CN"/>
        </w:rPr>
        <w:t>主动公开</w:t>
      </w:r>
    </w:p>
    <w:p>
      <w:pPr>
        <w:pBdr>
          <w:bottom w:val="single" w:color="auto" w:sz="4" w:space="0"/>
        </w:pBdr>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cs="仿宋"/>
          <w:sz w:val="32"/>
          <w:szCs w:val="32"/>
          <w:lang w:val="en-US" w:eastAsia="zh-CN"/>
        </w:rPr>
        <w:t>江门市农业农村局，</w:t>
      </w:r>
      <w:r>
        <w:rPr>
          <w:rFonts w:hint="eastAsia" w:ascii="仿宋" w:hAnsi="仿宋" w:eastAsia="仿宋" w:cs="仿宋"/>
          <w:sz w:val="32"/>
          <w:szCs w:val="32"/>
          <w:lang w:val="en-US" w:eastAsia="zh-CN"/>
        </w:rPr>
        <w:t>区财政局。</w:t>
      </w:r>
    </w:p>
    <w:p>
      <w:pPr>
        <w:pBdr>
          <w:top w:val="single" w:color="auto" w:sz="6" w:space="1"/>
          <w:bottom w:val="single" w:color="auto" w:sz="6" w:space="1"/>
        </w:pBdr>
        <w:spacing w:line="560" w:lineRule="exact"/>
        <w:ind w:firstLine="160" w:firstLineChars="50"/>
        <w:rPr>
          <w:rFonts w:ascii="仿宋" w:hAnsi="仿宋"/>
          <w:szCs w:val="32"/>
        </w:rPr>
      </w:pPr>
      <w:r>
        <w:rPr>
          <w:rFonts w:hint="eastAsia" w:ascii="仿宋" w:hAnsi="仿宋"/>
          <w:szCs w:val="32"/>
        </w:rPr>
        <w:t>江门市新会区农业农村局办公室      2021年</w:t>
      </w:r>
      <w:r>
        <w:rPr>
          <w:rFonts w:hint="eastAsia" w:ascii="仿宋" w:hAnsi="仿宋"/>
          <w:szCs w:val="32"/>
          <w:lang w:val="en-US" w:eastAsia="zh-CN"/>
        </w:rPr>
        <w:t>7</w:t>
      </w:r>
      <w:r>
        <w:rPr>
          <w:rFonts w:hint="eastAsia" w:ascii="仿宋" w:hAnsi="仿宋"/>
          <w:szCs w:val="32"/>
        </w:rPr>
        <w:t>月</w:t>
      </w:r>
      <w:r>
        <w:rPr>
          <w:rFonts w:hint="eastAsia" w:ascii="仿宋" w:hAnsi="仿宋"/>
          <w:szCs w:val="32"/>
          <w:lang w:val="en-US" w:eastAsia="zh-CN"/>
        </w:rPr>
        <w:t>5</w:t>
      </w:r>
      <w:r>
        <w:rPr>
          <w:rFonts w:hint="eastAsia" w:ascii="仿宋" w:hAnsi="仿宋"/>
          <w:szCs w:val="32"/>
        </w:rPr>
        <w:t>日印发</w:t>
      </w:r>
    </w:p>
    <w:sectPr>
      <w:footerReference r:id="rId7" w:type="default"/>
      <w:footerReference r:id="rId8" w:type="even"/>
      <w:pgSz w:w="11906" w:h="16838"/>
      <w:pgMar w:top="1701" w:right="1588" w:bottom="1418" w:left="1588" w:header="851" w:footer="459"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5641"/>
    <w:rsid w:val="000169A0"/>
    <w:rsid w:val="00016DA1"/>
    <w:rsid w:val="00024431"/>
    <w:rsid w:val="00027AF7"/>
    <w:rsid w:val="000325D7"/>
    <w:rsid w:val="0003261F"/>
    <w:rsid w:val="00037357"/>
    <w:rsid w:val="000566D8"/>
    <w:rsid w:val="00060890"/>
    <w:rsid w:val="00064A47"/>
    <w:rsid w:val="000811F5"/>
    <w:rsid w:val="00086DE7"/>
    <w:rsid w:val="00091F8F"/>
    <w:rsid w:val="0009344D"/>
    <w:rsid w:val="00094DF4"/>
    <w:rsid w:val="00095A31"/>
    <w:rsid w:val="00096A2F"/>
    <w:rsid w:val="000B4430"/>
    <w:rsid w:val="000C00ED"/>
    <w:rsid w:val="000C4D3D"/>
    <w:rsid w:val="000D077D"/>
    <w:rsid w:val="000E5B6E"/>
    <w:rsid w:val="000E6FA5"/>
    <w:rsid w:val="000F16F8"/>
    <w:rsid w:val="000F1B41"/>
    <w:rsid w:val="000F23F7"/>
    <w:rsid w:val="000F2AB4"/>
    <w:rsid w:val="000F6A70"/>
    <w:rsid w:val="001021C2"/>
    <w:rsid w:val="00103867"/>
    <w:rsid w:val="00104C04"/>
    <w:rsid w:val="00106E10"/>
    <w:rsid w:val="00106FB6"/>
    <w:rsid w:val="00114A7F"/>
    <w:rsid w:val="001379FE"/>
    <w:rsid w:val="00142BA2"/>
    <w:rsid w:val="001508F3"/>
    <w:rsid w:val="001510F5"/>
    <w:rsid w:val="00156F68"/>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232AF"/>
    <w:rsid w:val="002342C4"/>
    <w:rsid w:val="00241B93"/>
    <w:rsid w:val="002446C0"/>
    <w:rsid w:val="002532EB"/>
    <w:rsid w:val="00254A05"/>
    <w:rsid w:val="00261F9B"/>
    <w:rsid w:val="00263473"/>
    <w:rsid w:val="002637FA"/>
    <w:rsid w:val="00271CDC"/>
    <w:rsid w:val="0028003D"/>
    <w:rsid w:val="00280CE5"/>
    <w:rsid w:val="00285640"/>
    <w:rsid w:val="002977F7"/>
    <w:rsid w:val="002A028B"/>
    <w:rsid w:val="002A342F"/>
    <w:rsid w:val="002B1569"/>
    <w:rsid w:val="002C0EB8"/>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40AAF"/>
    <w:rsid w:val="00453C76"/>
    <w:rsid w:val="00454403"/>
    <w:rsid w:val="004549E2"/>
    <w:rsid w:val="004550C0"/>
    <w:rsid w:val="0045569D"/>
    <w:rsid w:val="00460B25"/>
    <w:rsid w:val="004650E3"/>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D2FA0"/>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75A72"/>
    <w:rsid w:val="005838B1"/>
    <w:rsid w:val="005A43B3"/>
    <w:rsid w:val="005A54E4"/>
    <w:rsid w:val="005B0EF3"/>
    <w:rsid w:val="005B2C3C"/>
    <w:rsid w:val="005B6BB2"/>
    <w:rsid w:val="005D0BED"/>
    <w:rsid w:val="005E3107"/>
    <w:rsid w:val="005E58D4"/>
    <w:rsid w:val="005F53B2"/>
    <w:rsid w:val="00607F5B"/>
    <w:rsid w:val="0062633B"/>
    <w:rsid w:val="006437F9"/>
    <w:rsid w:val="00663D26"/>
    <w:rsid w:val="00664B44"/>
    <w:rsid w:val="0067018E"/>
    <w:rsid w:val="00673D6A"/>
    <w:rsid w:val="006849D0"/>
    <w:rsid w:val="00686861"/>
    <w:rsid w:val="00691CFD"/>
    <w:rsid w:val="006956FD"/>
    <w:rsid w:val="006979FF"/>
    <w:rsid w:val="006A17C5"/>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20828"/>
    <w:rsid w:val="00723CA3"/>
    <w:rsid w:val="00726C62"/>
    <w:rsid w:val="00726E9A"/>
    <w:rsid w:val="00735C39"/>
    <w:rsid w:val="007379B4"/>
    <w:rsid w:val="007479C1"/>
    <w:rsid w:val="007543E6"/>
    <w:rsid w:val="00760ADF"/>
    <w:rsid w:val="007635BF"/>
    <w:rsid w:val="00773045"/>
    <w:rsid w:val="0077777E"/>
    <w:rsid w:val="00780BB9"/>
    <w:rsid w:val="00786B1D"/>
    <w:rsid w:val="00786D56"/>
    <w:rsid w:val="00791781"/>
    <w:rsid w:val="007929A2"/>
    <w:rsid w:val="007A0FEC"/>
    <w:rsid w:val="007A2FC6"/>
    <w:rsid w:val="007A5CFF"/>
    <w:rsid w:val="007A74B4"/>
    <w:rsid w:val="007B3B80"/>
    <w:rsid w:val="007C474D"/>
    <w:rsid w:val="007C6C43"/>
    <w:rsid w:val="007D3928"/>
    <w:rsid w:val="007D3B2B"/>
    <w:rsid w:val="007E0D86"/>
    <w:rsid w:val="007E1492"/>
    <w:rsid w:val="00801F4F"/>
    <w:rsid w:val="00813DB6"/>
    <w:rsid w:val="00813FE9"/>
    <w:rsid w:val="00825535"/>
    <w:rsid w:val="00825A9D"/>
    <w:rsid w:val="00832230"/>
    <w:rsid w:val="00861345"/>
    <w:rsid w:val="00865168"/>
    <w:rsid w:val="008676E9"/>
    <w:rsid w:val="00871838"/>
    <w:rsid w:val="008758B0"/>
    <w:rsid w:val="00875BF3"/>
    <w:rsid w:val="00890F54"/>
    <w:rsid w:val="0089391E"/>
    <w:rsid w:val="008A1EDD"/>
    <w:rsid w:val="008A7496"/>
    <w:rsid w:val="008B0008"/>
    <w:rsid w:val="008B70CA"/>
    <w:rsid w:val="008C0B15"/>
    <w:rsid w:val="008C3874"/>
    <w:rsid w:val="008C3F63"/>
    <w:rsid w:val="008E4976"/>
    <w:rsid w:val="008E5A99"/>
    <w:rsid w:val="008F04BF"/>
    <w:rsid w:val="008F0552"/>
    <w:rsid w:val="008F3D20"/>
    <w:rsid w:val="008F4328"/>
    <w:rsid w:val="008F5124"/>
    <w:rsid w:val="00913C1A"/>
    <w:rsid w:val="00916251"/>
    <w:rsid w:val="009244D2"/>
    <w:rsid w:val="009267EF"/>
    <w:rsid w:val="009312A6"/>
    <w:rsid w:val="00931B46"/>
    <w:rsid w:val="00946965"/>
    <w:rsid w:val="0094799A"/>
    <w:rsid w:val="00950F35"/>
    <w:rsid w:val="0095575B"/>
    <w:rsid w:val="00963536"/>
    <w:rsid w:val="00976E2C"/>
    <w:rsid w:val="009834FD"/>
    <w:rsid w:val="00984CEB"/>
    <w:rsid w:val="00986A08"/>
    <w:rsid w:val="00996174"/>
    <w:rsid w:val="009A404F"/>
    <w:rsid w:val="009D307E"/>
    <w:rsid w:val="009D58C8"/>
    <w:rsid w:val="009D666D"/>
    <w:rsid w:val="009E07ED"/>
    <w:rsid w:val="009E2824"/>
    <w:rsid w:val="009E49B2"/>
    <w:rsid w:val="009F4C31"/>
    <w:rsid w:val="00A00C88"/>
    <w:rsid w:val="00A05B06"/>
    <w:rsid w:val="00A142A7"/>
    <w:rsid w:val="00A23788"/>
    <w:rsid w:val="00A24D52"/>
    <w:rsid w:val="00A3468F"/>
    <w:rsid w:val="00A356D5"/>
    <w:rsid w:val="00A428AF"/>
    <w:rsid w:val="00A44037"/>
    <w:rsid w:val="00A53183"/>
    <w:rsid w:val="00A653BB"/>
    <w:rsid w:val="00A734A9"/>
    <w:rsid w:val="00A80426"/>
    <w:rsid w:val="00A842BD"/>
    <w:rsid w:val="00A93C65"/>
    <w:rsid w:val="00A968ED"/>
    <w:rsid w:val="00AB3D14"/>
    <w:rsid w:val="00AB6A94"/>
    <w:rsid w:val="00AC0E4F"/>
    <w:rsid w:val="00AD5469"/>
    <w:rsid w:val="00AE441A"/>
    <w:rsid w:val="00AF4FF6"/>
    <w:rsid w:val="00AF6CBC"/>
    <w:rsid w:val="00B05283"/>
    <w:rsid w:val="00B33DBF"/>
    <w:rsid w:val="00B51276"/>
    <w:rsid w:val="00B76DC8"/>
    <w:rsid w:val="00B81943"/>
    <w:rsid w:val="00B8251A"/>
    <w:rsid w:val="00B861FD"/>
    <w:rsid w:val="00B900A3"/>
    <w:rsid w:val="00BA055B"/>
    <w:rsid w:val="00BA4E34"/>
    <w:rsid w:val="00BA57D5"/>
    <w:rsid w:val="00BB1BB1"/>
    <w:rsid w:val="00BB1CE6"/>
    <w:rsid w:val="00BD50DE"/>
    <w:rsid w:val="00BD70FB"/>
    <w:rsid w:val="00BE09BB"/>
    <w:rsid w:val="00BF002A"/>
    <w:rsid w:val="00BF3A59"/>
    <w:rsid w:val="00C02C18"/>
    <w:rsid w:val="00C12F1A"/>
    <w:rsid w:val="00C3305C"/>
    <w:rsid w:val="00C439CB"/>
    <w:rsid w:val="00C709C3"/>
    <w:rsid w:val="00C7192A"/>
    <w:rsid w:val="00C72CC9"/>
    <w:rsid w:val="00C77CE5"/>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97928"/>
    <w:rsid w:val="00DB067D"/>
    <w:rsid w:val="00DB26A4"/>
    <w:rsid w:val="00DC0C75"/>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3A60"/>
    <w:rsid w:val="00E44641"/>
    <w:rsid w:val="00E47A26"/>
    <w:rsid w:val="00E51C9A"/>
    <w:rsid w:val="00E51D06"/>
    <w:rsid w:val="00E529DC"/>
    <w:rsid w:val="00E56481"/>
    <w:rsid w:val="00E569A4"/>
    <w:rsid w:val="00E82812"/>
    <w:rsid w:val="00E90B4F"/>
    <w:rsid w:val="00E97544"/>
    <w:rsid w:val="00EA1A47"/>
    <w:rsid w:val="00EB0534"/>
    <w:rsid w:val="00EB20B2"/>
    <w:rsid w:val="00EB43B8"/>
    <w:rsid w:val="00EC5A37"/>
    <w:rsid w:val="00EC5B91"/>
    <w:rsid w:val="00ED6740"/>
    <w:rsid w:val="00EE460A"/>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53CF"/>
    <w:rsid w:val="00FA6797"/>
    <w:rsid w:val="00FB0B32"/>
    <w:rsid w:val="00FB3D62"/>
    <w:rsid w:val="00FC40C7"/>
    <w:rsid w:val="00FC7F47"/>
    <w:rsid w:val="00FE4F12"/>
    <w:rsid w:val="00FE6B72"/>
    <w:rsid w:val="00FE7790"/>
    <w:rsid w:val="00FF0236"/>
    <w:rsid w:val="00FF2607"/>
    <w:rsid w:val="00FF594D"/>
    <w:rsid w:val="02BD43D3"/>
    <w:rsid w:val="12A25B4F"/>
    <w:rsid w:val="1B7C38DD"/>
    <w:rsid w:val="278F6D95"/>
    <w:rsid w:val="2E573BF2"/>
    <w:rsid w:val="30171BAE"/>
    <w:rsid w:val="3103544C"/>
    <w:rsid w:val="325E4A39"/>
    <w:rsid w:val="49583AFD"/>
    <w:rsid w:val="4AA84CFC"/>
    <w:rsid w:val="66F56B62"/>
    <w:rsid w:val="69106C3A"/>
    <w:rsid w:val="7624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eastAsia="宋体"/>
      <w:sz w:val="21"/>
      <w:szCs w:val="24"/>
    </w:rPr>
  </w:style>
  <w:style w:type="paragraph" w:styleId="4">
    <w:name w:val="Body Text"/>
    <w:basedOn w:val="1"/>
    <w:link w:val="17"/>
    <w:qFormat/>
    <w:uiPriority w:val="0"/>
    <w:pPr>
      <w:spacing w:line="0" w:lineRule="atLeast"/>
    </w:pPr>
    <w:rPr>
      <w:rFonts w:eastAsia="小标宋"/>
      <w:sz w:val="44"/>
      <w:szCs w:val="32"/>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link w:val="8"/>
    <w:semiHidden/>
    <w:qFormat/>
    <w:uiPriority w:val="99"/>
    <w:rPr>
      <w:rFonts w:ascii="宋体" w:hAnsi="宋体" w:eastAsia="方正仿宋简体"/>
      <w:sz w:val="18"/>
      <w:szCs w:val="18"/>
    </w:rPr>
  </w:style>
  <w:style w:type="character" w:customStyle="1" w:styleId="16">
    <w:name w:val="页脚 Char"/>
    <w:link w:val="7"/>
    <w:qFormat/>
    <w:uiPriority w:val="99"/>
    <w:rPr>
      <w:rFonts w:ascii="宋体" w:hAnsi="宋体" w:eastAsia="方正仿宋简体"/>
      <w:sz w:val="18"/>
      <w:szCs w:val="18"/>
    </w:rPr>
  </w:style>
  <w:style w:type="character" w:customStyle="1" w:styleId="17">
    <w:name w:val="正文文本 Char"/>
    <w:link w:val="4"/>
    <w:qFormat/>
    <w:uiPriority w:val="0"/>
    <w:rPr>
      <w:rFonts w:ascii="宋体" w:hAnsi="宋体" w:eastAsia="小标宋" w:cs="Times New Roman"/>
      <w:sz w:val="44"/>
      <w:szCs w:val="32"/>
    </w:rPr>
  </w:style>
  <w:style w:type="character" w:customStyle="1" w:styleId="18">
    <w:name w:val="日期 Char"/>
    <w:basedOn w:val="12"/>
    <w:link w:val="6"/>
    <w:semiHidden/>
    <w:qFormat/>
    <w:uiPriority w:val="99"/>
    <w:rPr>
      <w:rFonts w:ascii="宋体" w:hAnsi="宋体" w:eastAsia="仿宋"/>
      <w:kern w:val="2"/>
      <w:sz w:val="32"/>
      <w:szCs w:val="22"/>
    </w:rPr>
  </w:style>
  <w:style w:type="character" w:customStyle="1" w:styleId="19">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缩进 Char"/>
    <w:basedOn w:val="12"/>
    <w:link w:val="5"/>
    <w:semiHidden/>
    <w:qFormat/>
    <w:uiPriority w:val="99"/>
    <w:rPr>
      <w:rFonts w:ascii="宋体" w:hAnsi="宋体" w:eastAsia="仿宋"/>
      <w:kern w:val="2"/>
      <w:sz w:val="32"/>
      <w:szCs w:val="22"/>
    </w:rPr>
  </w:style>
  <w:style w:type="character" w:customStyle="1" w:styleId="21">
    <w:name w:val="批注文字 Char"/>
    <w:basedOn w:val="12"/>
    <w:link w:val="3"/>
    <w:qFormat/>
    <w:uiPriority w:val="0"/>
    <w:rPr>
      <w:kern w:val="2"/>
      <w:sz w:val="21"/>
      <w:szCs w:val="24"/>
    </w:rPr>
  </w:style>
  <w:style w:type="character" w:customStyle="1" w:styleId="22">
    <w:name w:val="批注文字 Char1"/>
    <w:basedOn w:val="12"/>
    <w:link w:val="3"/>
    <w:semiHidden/>
    <w:qFormat/>
    <w:uiPriority w:val="99"/>
    <w:rPr>
      <w:rFonts w:ascii="宋体" w:hAnsi="宋体" w:eastAsia="仿宋"/>
      <w:kern w:val="2"/>
      <w:sz w:val="32"/>
      <w:szCs w:val="22"/>
    </w:rPr>
  </w:style>
  <w:style w:type="character" w:customStyle="1" w:styleId="23">
    <w:name w:val="font21"/>
    <w:qFormat/>
    <w:uiPriority w:val="0"/>
    <w:rPr>
      <w:rFonts w:hint="eastAsia" w:ascii="宋体" w:hAnsi="宋体" w:eastAsia="宋体" w:cs="宋体"/>
      <w:color w:val="000000"/>
      <w:sz w:val="24"/>
      <w:szCs w:val="24"/>
      <w:u w:val="none"/>
    </w:rPr>
  </w:style>
  <w:style w:type="paragraph" w:customStyle="1" w:styleId="24">
    <w:name w:val="样式1"/>
    <w:basedOn w:val="8"/>
    <w:link w:val="26"/>
    <w:qFormat/>
    <w:uiPriority w:val="0"/>
    <w:pPr>
      <w:pBdr>
        <w:bottom w:val="none" w:color="auto" w:sz="0" w:space="0"/>
      </w:pBdr>
    </w:pPr>
  </w:style>
  <w:style w:type="paragraph" w:customStyle="1" w:styleId="25">
    <w:name w:val="样式2"/>
    <w:basedOn w:val="8"/>
    <w:link w:val="27"/>
    <w:qFormat/>
    <w:uiPriority w:val="0"/>
    <w:pPr>
      <w:pBdr>
        <w:bottom w:val="none" w:color="auto" w:sz="0" w:space="0"/>
      </w:pBdr>
    </w:pPr>
  </w:style>
  <w:style w:type="character" w:customStyle="1" w:styleId="26">
    <w:name w:val="样式1 Char"/>
    <w:basedOn w:val="15"/>
    <w:link w:val="24"/>
    <w:qFormat/>
    <w:uiPriority w:val="0"/>
    <w:rPr>
      <w:rFonts w:eastAsia="仿宋"/>
      <w:kern w:val="2"/>
    </w:rPr>
  </w:style>
  <w:style w:type="character" w:customStyle="1" w:styleId="27">
    <w:name w:val="样式2 Char"/>
    <w:basedOn w:val="15"/>
    <w:link w:val="25"/>
    <w:qFormat/>
    <w:uiPriority w:val="0"/>
    <w:rPr>
      <w:rFonts w:eastAsia="仿宋"/>
      <w:kern w:val="2"/>
    </w:rPr>
  </w:style>
  <w:style w:type="paragraph" w:customStyle="1" w:styleId="28">
    <w:name w:val="样式3"/>
    <w:basedOn w:val="8"/>
    <w:link w:val="29"/>
    <w:qFormat/>
    <w:uiPriority w:val="0"/>
    <w:pPr>
      <w:pBdr>
        <w:bottom w:val="none" w:color="auto" w:sz="0" w:space="0"/>
      </w:pBdr>
    </w:pPr>
  </w:style>
  <w:style w:type="character" w:customStyle="1" w:styleId="29">
    <w:name w:val="样式3 Char"/>
    <w:basedOn w:val="15"/>
    <w:link w:val="28"/>
    <w:qFormat/>
    <w:uiPriority w:val="0"/>
    <w:rPr>
      <w:rFonts w:eastAsia="仿宋"/>
      <w:kern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0" textRotate="1"/>
    <customShpInfo spid="_x0000_s2051"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799</Words>
  <Characters>4559</Characters>
  <Lines>37</Lines>
  <Paragraphs>10</Paragraphs>
  <TotalTime>0</TotalTime>
  <ScaleCrop>false</ScaleCrop>
  <LinksUpToDate>false</LinksUpToDate>
  <CharactersWithSpaces>5348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区农林局收发员</dc:creator>
  <cp:lastModifiedBy>区农业农村局收发员</cp:lastModifiedBy>
  <cp:lastPrinted>2021-01-13T10:13:00Z</cp:lastPrinted>
  <dcterms:modified xsi:type="dcterms:W3CDTF">2021-07-05T08:04:25Z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70CCC9C0C81842D09D66B67BC875D30B</vt:lpwstr>
  </property>
</Properties>
</file>