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2"/>
        </w:rPr>
      </w:pPr>
      <w:r>
        <w:rPr>
          <w:rFonts w:hint="eastAsia" w:ascii="黑体" w:hAnsi="黑体" w:eastAsia="黑体"/>
          <w:szCs w:val="32"/>
        </w:rPr>
        <w:t xml:space="preserve"> </w:t>
      </w:r>
    </w:p>
    <w:p>
      <w:pPr>
        <w:rPr>
          <w:rFonts w:hint="eastAsia" w:ascii="黑体" w:hAnsi="黑体" w:eastAsia="黑体"/>
          <w:szCs w:val="32"/>
        </w:rPr>
      </w:pPr>
    </w:p>
    <w:p>
      <w:pPr>
        <w:spacing w:line="240" w:lineRule="exact"/>
        <w:rPr>
          <w:rFonts w:asciiTheme="minorEastAsia" w:hAnsiTheme="minorEastAsia" w:eastAsiaTheme="minorEastAsia"/>
          <w:szCs w:val="32"/>
        </w:rPr>
      </w:pPr>
    </w:p>
    <w:p>
      <w:pPr>
        <w:rPr>
          <w:rFonts w:ascii="黑体" w:hAnsi="黑体" w:eastAsia="黑体"/>
          <w:szCs w:val="32"/>
        </w:rPr>
      </w:pPr>
    </w:p>
    <w:p>
      <w:pPr>
        <w:spacing w:line="840" w:lineRule="exact"/>
        <w:rPr>
          <w:szCs w:val="32"/>
        </w:rPr>
      </w:pPr>
      <w:r>
        <w:rPr>
          <w:szCs w:val="32"/>
        </w:rPr>
        <w:pict>
          <v:shape id="WJBT" o:spid="_x0000_s1036" o:spt="202" type="#_x0000_t202" style="position:absolute;left:0pt;margin-top:202.65pt;height:104.85pt;width:413.85pt;mso-position-horizontal:center;mso-position-vertical-relative:page;z-index:-251656192;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ascii="仿宋" w:hAnsi="仿宋"/>
          <w:szCs w:val="32"/>
        </w:rPr>
      </w:pPr>
      <w:r>
        <w:rPr>
          <w:rFonts w:hint="eastAsia" w:ascii="仿宋" w:hAnsi="仿宋"/>
          <w:szCs w:val="32"/>
        </w:rPr>
        <w:t>新农农〔</w:t>
      </w:r>
      <w:r>
        <w:rPr>
          <w:rFonts w:ascii="仿宋" w:hAnsi="仿宋"/>
          <w:szCs w:val="32"/>
        </w:rPr>
        <w:t>20</w:t>
      </w:r>
      <w:r>
        <w:rPr>
          <w:rFonts w:hint="eastAsia" w:ascii="仿宋" w:hAnsi="仿宋"/>
          <w:szCs w:val="32"/>
        </w:rPr>
        <w:t>21</w:t>
      </w:r>
      <w:r>
        <w:rPr>
          <w:rFonts w:ascii="仿宋" w:hAnsi="仿宋"/>
          <w:szCs w:val="32"/>
        </w:rPr>
        <w:t>〕</w:t>
      </w:r>
      <w:r>
        <w:rPr>
          <w:rFonts w:hint="eastAsia" w:ascii="仿宋" w:hAnsi="仿宋"/>
          <w:szCs w:val="32"/>
          <w:lang w:val="en-US" w:eastAsia="zh-CN"/>
        </w:rPr>
        <w:t>77</w:t>
      </w:r>
      <w:r>
        <w:rPr>
          <w:rFonts w:ascii="仿宋" w:hAnsi="仿宋"/>
          <w:szCs w:val="32"/>
        </w:rPr>
        <w:t>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pict>
          <v:shape id="GWXH" o:spid="_x0000_s1035" o:spt="202" type="#_x0000_t202" style="position:absolute;left:0pt;margin-left:-0.05pt;margin-top:104.9pt;height:22.7pt;width:108.7pt;mso-position-vertical-relative:page;z-index:251659264;mso-width-relative:page;mso-height-relative:page;" filled="f" stroked="f" coordsize="21600,21600">
            <v:path/>
            <v:fill on="f" focussize="0,0"/>
            <v:stroke on="f"/>
            <v:imagedata o:title=""/>
            <o:lock v:ext="edit" aspectratio="f"/>
            <v:textbox inset="0mm,0mm,0mm,0mm">
              <w:txbxContent>
                <w:p>
                  <w:pPr>
                    <w:rPr>
                      <w:rFonts w:hint="eastAsia" w:ascii="黑体" w:hAnsi="黑体" w:eastAsia="黑体"/>
                      <w:szCs w:val="32"/>
                      <w:lang w:val="en-US" w:eastAsia="zh-CN"/>
                    </w:rPr>
                  </w:pPr>
                  <w:r>
                    <w:rPr>
                      <w:rFonts w:hint="eastAsia" w:ascii="黑体" w:hAnsi="黑体" w:eastAsia="黑体"/>
                      <w:szCs w:val="32"/>
                      <w:lang w:val="en-US" w:eastAsia="zh-CN"/>
                    </w:rPr>
                    <w:t>此件为准</w:t>
                  </w:r>
                </w:p>
              </w:txbxContent>
            </v:textbox>
            <w10:anchorlock/>
          </v:shape>
        </w:pict>
      </w:r>
      <w:r>
        <w:rPr>
          <w:rFonts w:hint="eastAsia" w:ascii="方正小标宋简体" w:hAnsi="方正小标宋简体" w:eastAsia="方正小标宋简体" w:cs="方正小标宋简体"/>
          <w:sz w:val="44"/>
          <w:szCs w:val="44"/>
        </w:rPr>
        <w:pict>
          <v:line id="BTBX" o:spid="_x0000_s1034" o:spt="20" style="position:absolute;left:0pt;margin-left:-0.05pt;margin-top:342.45pt;height:0pt;width:442.2pt;mso-position-vertical-relative:page;z-index:251659264;mso-width-relative:page;mso-height-relative:page;" stroked="t" coordsize="21600,21600">
            <v:path arrowok="t"/>
            <v:fill focussize="0,0"/>
            <v:stroke weight="1.25pt" color="#FF0000"/>
            <v:imagedata o:title=""/>
            <o:lock v:ext="edit"/>
            <w10:anchorlock/>
          </v:line>
        </w:pict>
      </w:r>
      <w:r>
        <w:rPr>
          <w:rFonts w:hint="eastAsia" w:ascii="方正小标宋简体" w:hAnsi="方正小标宋简体" w:eastAsia="方正小标宋简体" w:cs="方正小标宋简体"/>
          <w:sz w:val="44"/>
          <w:szCs w:val="44"/>
        </w:rPr>
        <w:t>关于印发《新会区2021年双季稻</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轮作试点方案》的通知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各镇（街）农业农村办公室：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rPr>
        <w:t>为了更好地加快推进我区的双季稻轮作试点工作</w:t>
      </w:r>
      <w:r>
        <w:rPr>
          <w:rFonts w:hint="eastAsia" w:ascii="仿宋" w:hAnsi="仿宋" w:eastAsia="仿宋" w:cs="仿宋"/>
          <w:sz w:val="32"/>
          <w:szCs w:val="32"/>
        </w:rPr>
        <w:t>，</w:t>
      </w:r>
      <w:r>
        <w:rPr>
          <w:rFonts w:hint="eastAsia" w:ascii="仿宋" w:hAnsi="仿宋" w:cs="仿宋"/>
          <w:sz w:val="32"/>
          <w:szCs w:val="32"/>
          <w:lang w:val="en-US" w:eastAsia="zh-CN"/>
        </w:rPr>
        <w:t>我局制定了</w:t>
      </w:r>
      <w:r>
        <w:rPr>
          <w:rFonts w:hint="eastAsia" w:ascii="仿宋" w:hAnsi="仿宋" w:eastAsia="仿宋" w:cs="仿宋"/>
          <w:sz w:val="32"/>
          <w:szCs w:val="32"/>
        </w:rPr>
        <w:t>《</w:t>
      </w:r>
      <w:r>
        <w:rPr>
          <w:rFonts w:hint="eastAsia" w:ascii="仿宋" w:hAnsi="仿宋" w:eastAsia="仿宋" w:cs="仿宋"/>
          <w:color w:val="000000"/>
          <w:kern w:val="0"/>
          <w:sz w:val="32"/>
          <w:szCs w:val="32"/>
        </w:rPr>
        <w:t>新会区2021 年双季稻轮作试点方案</w:t>
      </w:r>
      <w:r>
        <w:rPr>
          <w:rFonts w:hint="eastAsia" w:ascii="仿宋" w:hAnsi="仿宋" w:eastAsia="仿宋" w:cs="仿宋"/>
          <w:sz w:val="32"/>
          <w:szCs w:val="32"/>
        </w:rPr>
        <w:t>》</w:t>
      </w:r>
      <w:r>
        <w:rPr>
          <w:rFonts w:hint="eastAsia" w:ascii="仿宋" w:hAnsi="仿宋" w:cs="仿宋"/>
          <w:sz w:val="32"/>
          <w:szCs w:val="32"/>
          <w:lang w:eastAsia="zh-CN"/>
        </w:rPr>
        <w:t>，</w:t>
      </w:r>
      <w:r>
        <w:rPr>
          <w:rFonts w:hint="eastAsia" w:ascii="仿宋" w:hAnsi="仿宋" w:cs="仿宋"/>
          <w:sz w:val="32"/>
          <w:szCs w:val="32"/>
          <w:lang w:val="en-US" w:eastAsia="zh-CN"/>
        </w:rPr>
        <w:t>现</w:t>
      </w:r>
      <w:r>
        <w:rPr>
          <w:rFonts w:hint="eastAsia" w:ascii="仿宋" w:hAnsi="仿宋" w:eastAsia="仿宋" w:cs="仿宋"/>
          <w:sz w:val="32"/>
          <w:szCs w:val="32"/>
        </w:rPr>
        <w:t>印发给你们，请贯彻执行。同时，请有意向开展项目服务的供应商于7月12日前向我局咨询</w:t>
      </w:r>
      <w:r>
        <w:rPr>
          <w:rFonts w:hint="eastAsia" w:ascii="仿宋" w:hAnsi="仿宋" w:cs="仿宋"/>
          <w:sz w:val="32"/>
          <w:szCs w:val="32"/>
          <w:lang w:val="en-US" w:eastAsia="zh-CN"/>
        </w:rPr>
        <w:t>相关事项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江门市新会区农业农村局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2021年7月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(联系人：钟振山，联系电话：6373979）</w:t>
      </w:r>
    </w:p>
    <w:p>
      <w:pPr>
        <w:keepNext w:val="0"/>
        <w:keepLines w:val="0"/>
        <w:pageBreakBefore w:val="0"/>
        <w:widowControl/>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新会区2021年双季稻轮作试点方案</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center"/>
        <w:textAlignment w:val="auto"/>
        <w:rPr>
          <w:rFonts w:ascii="仿宋" w:hAnsi="仿宋" w:eastAsia="仿宋"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根据《广东省 2021年双季稻轮作试点实施方案》（粤农农计〔2021〕9号）和市农业农村局《</w:t>
      </w:r>
      <w:r>
        <w:rPr>
          <w:rFonts w:ascii="仿宋" w:hAnsi="仿宋" w:eastAsia="仿宋" w:cs="宋体"/>
          <w:color w:val="000000"/>
          <w:kern w:val="0"/>
          <w:sz w:val="32"/>
          <w:szCs w:val="32"/>
        </w:rPr>
        <w:t>关于下达2021 年中央农业资源及生态保护补助资金（轮作休耕试点）任务清单的通知</w:t>
      </w:r>
      <w:r>
        <w:rPr>
          <w:rFonts w:hint="eastAsia" w:ascii="仿宋" w:hAnsi="仿宋" w:eastAsia="仿宋" w:cs="宋体"/>
          <w:color w:val="000000"/>
          <w:kern w:val="0"/>
          <w:sz w:val="32"/>
          <w:szCs w:val="32"/>
        </w:rPr>
        <w:t>》等文件要求，借鉴我区近年开展“双季稻+冬种油菜”成功经验，结合实际，为做好我区 2021 年度双季稻轮作试点工作，</w:t>
      </w:r>
      <w:r>
        <w:rPr>
          <w:rFonts w:hint="eastAsia" w:ascii="仿宋" w:hAnsi="仿宋" w:eastAsia="仿宋" w:cs="仿宋"/>
          <w:sz w:val="32"/>
          <w:szCs w:val="32"/>
        </w:rPr>
        <w:t>综合</w:t>
      </w:r>
      <w:r>
        <w:rPr>
          <w:rFonts w:ascii="仿宋" w:hAnsi="仿宋" w:eastAsia="仿宋" w:cs="仿宋"/>
          <w:sz w:val="32"/>
          <w:szCs w:val="32"/>
        </w:rPr>
        <w:t>镇</w:t>
      </w:r>
      <w:r>
        <w:rPr>
          <w:rFonts w:hint="eastAsia" w:ascii="仿宋" w:hAnsi="仿宋" w:eastAsia="仿宋" w:cs="仿宋"/>
          <w:sz w:val="32"/>
          <w:szCs w:val="32"/>
        </w:rPr>
        <w:t>（</w:t>
      </w:r>
      <w:r>
        <w:rPr>
          <w:rFonts w:ascii="仿宋" w:hAnsi="仿宋" w:eastAsia="仿宋" w:cs="仿宋"/>
          <w:sz w:val="32"/>
          <w:szCs w:val="32"/>
        </w:rPr>
        <w:t>街</w:t>
      </w:r>
      <w:r>
        <w:rPr>
          <w:rFonts w:hint="eastAsia" w:ascii="仿宋" w:hAnsi="仿宋" w:eastAsia="仿宋" w:cs="仿宋"/>
          <w:sz w:val="32"/>
          <w:szCs w:val="32"/>
        </w:rPr>
        <w:t>）和</w:t>
      </w:r>
      <w:r>
        <w:rPr>
          <w:rFonts w:ascii="仿宋" w:hAnsi="仿宋" w:eastAsia="仿宋" w:cs="仿宋"/>
          <w:sz w:val="32"/>
          <w:szCs w:val="32"/>
        </w:rPr>
        <w:t>有关部门意见</w:t>
      </w:r>
      <w:r>
        <w:rPr>
          <w:rFonts w:hint="eastAsia" w:ascii="仿宋" w:hAnsi="仿宋" w:eastAsia="仿宋" w:cs="仿宋"/>
          <w:sz w:val="32"/>
          <w:szCs w:val="32"/>
        </w:rPr>
        <w:t>，</w:t>
      </w:r>
      <w:r>
        <w:rPr>
          <w:rFonts w:hint="eastAsia" w:ascii="仿宋" w:hAnsi="仿宋" w:eastAsia="仿宋" w:cs="宋体"/>
          <w:color w:val="000000"/>
          <w:kern w:val="0"/>
          <w:sz w:val="32"/>
          <w:szCs w:val="32"/>
        </w:rPr>
        <w:t>制定本方案。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一、指导思想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以习近平新时代中国特色社会主义思想为指导，全面贯彻落实党的十九大精神和中央一号文件精神，牢固树立新发展理念，深入实施“藏粮于地、藏粮于技”战略，加大政策扶持，瞄准关键薄弱环节，深入实施双季稻轮作试点，持续加力、常抓不懈，探索形成可复制、可推广的耕地轮作组织方式、技术模式和政策框架，加快构建符合我区实际的绿色种植制度，稳定提高双季稻生产能力，促进生态环境改善和资源可持续利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二、基本原则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（一）巩固提升粮食产能。</w:t>
      </w:r>
      <w:r>
        <w:rPr>
          <w:rFonts w:hint="eastAsia" w:ascii="仿宋" w:hAnsi="仿宋" w:eastAsia="仿宋" w:cs="宋体"/>
          <w:color w:val="000000"/>
          <w:kern w:val="0"/>
          <w:sz w:val="32"/>
          <w:szCs w:val="32"/>
        </w:rPr>
        <w:t>坚守耕地保护红线，提升耕地质量，防止耕地“非粮化”。按照“宜粮则粮、应种尽种”的原则进行作物品种内部轮作，开展双季稻轮作试点。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（二）集中连片推进。</w:t>
      </w:r>
      <w:r>
        <w:rPr>
          <w:rFonts w:hint="eastAsia" w:ascii="仿宋" w:hAnsi="仿宋" w:eastAsia="仿宋" w:cs="宋体"/>
          <w:color w:val="000000"/>
          <w:kern w:val="0"/>
          <w:sz w:val="32"/>
          <w:szCs w:val="32"/>
        </w:rPr>
        <w:t>坚持集中连片推进双季稻轮作试点，鼓励试点区域农户、新型经营主体（含种粮大户、家庭农场、农民合作社等）和其它农业企业等（下称农民)共同参与双季稻</w:t>
      </w:r>
      <w:r>
        <w:rPr>
          <w:rFonts w:ascii="仿宋" w:hAnsi="仿宋" w:eastAsia="仿宋" w:cs="宋体"/>
          <w:color w:val="000000"/>
          <w:kern w:val="0"/>
          <w:sz w:val="32"/>
          <w:szCs w:val="32"/>
        </w:rPr>
        <w:t>轮作试点，</w:t>
      </w:r>
      <w:r>
        <w:rPr>
          <w:rFonts w:hint="eastAsia" w:ascii="仿宋" w:hAnsi="仿宋" w:eastAsia="仿宋" w:cs="宋体"/>
          <w:color w:val="000000"/>
          <w:kern w:val="0"/>
          <w:sz w:val="32"/>
          <w:szCs w:val="32"/>
        </w:rPr>
        <w:t>带动试点区域内轮作面积的落实。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（三）尊重农民意愿。</w:t>
      </w:r>
      <w:r>
        <w:rPr>
          <w:rFonts w:hint="eastAsia" w:ascii="仿宋" w:hAnsi="仿宋" w:eastAsia="仿宋" w:cs="宋体"/>
          <w:color w:val="000000"/>
          <w:kern w:val="0"/>
          <w:sz w:val="32"/>
          <w:szCs w:val="32"/>
        </w:rPr>
        <w:t>坚持以农民为主体，充分尊重农民意愿。通过社会化服务，引导农民自愿参与双季稻轮作试点，发挥其主观能动性。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（四）资源整合推进。</w:t>
      </w:r>
      <w:r>
        <w:rPr>
          <w:rFonts w:hint="eastAsia" w:ascii="仿宋" w:hAnsi="仿宋" w:eastAsia="仿宋" w:cs="宋体"/>
          <w:color w:val="000000"/>
          <w:kern w:val="0"/>
          <w:sz w:val="32"/>
          <w:szCs w:val="32"/>
        </w:rPr>
        <w:t>优先与2021年冬种农作物高产示范等相关项目对接，合力推进双季稻轮作试点。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三、实施内容和期限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（一）实施内容。</w:t>
      </w:r>
      <w:r>
        <w:rPr>
          <w:rFonts w:hint="eastAsia" w:ascii="仿宋" w:hAnsi="仿宋" w:eastAsia="仿宋" w:cs="宋体"/>
          <w:color w:val="000000"/>
          <w:kern w:val="0"/>
          <w:sz w:val="32"/>
          <w:szCs w:val="32"/>
        </w:rPr>
        <w:t>20</w:t>
      </w:r>
      <w:r>
        <w:rPr>
          <w:rFonts w:hint="eastAsia" w:ascii="仿宋" w:hAnsi="仿宋" w:cs="宋体"/>
          <w:color w:val="000000"/>
          <w:kern w:val="0"/>
          <w:sz w:val="32"/>
          <w:szCs w:val="32"/>
          <w:lang w:val="en-US" w:eastAsia="zh-CN"/>
        </w:rPr>
        <w:t>21</w:t>
      </w:r>
      <w:r>
        <w:rPr>
          <w:rFonts w:hint="eastAsia" w:ascii="仿宋" w:hAnsi="仿宋" w:eastAsia="仿宋" w:cs="宋体"/>
          <w:color w:val="000000"/>
          <w:kern w:val="0"/>
          <w:sz w:val="32"/>
          <w:szCs w:val="32"/>
        </w:rPr>
        <w:t>年全区双季稻轮作试点面积0.5万亩。探索建立适合我区的耕地轮作制度，集成“双季稻+冬</w:t>
      </w:r>
      <w:bookmarkStart w:id="0" w:name="_GoBack"/>
      <w:bookmarkEnd w:id="0"/>
      <w:r>
        <w:rPr>
          <w:rFonts w:hint="eastAsia" w:ascii="仿宋" w:hAnsi="仿宋" w:eastAsia="仿宋" w:cs="宋体"/>
          <w:color w:val="000000"/>
          <w:kern w:val="0"/>
          <w:sz w:val="32"/>
          <w:szCs w:val="32"/>
        </w:rPr>
        <w:t>种油菜”的水旱轮作、用地养地相结合生态种植技术模式，保障农产品稳定供给，不断提升土壤肥力和耕地质量等级，调优耕作制度，改善生态环境，农民收入不降低，确保农业可持续发展能力进一步增强。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color w:val="000000"/>
          <w:kern w:val="0"/>
          <w:sz w:val="32"/>
          <w:szCs w:val="32"/>
        </w:rPr>
      </w:pPr>
      <w:r>
        <w:rPr>
          <w:rFonts w:hint="eastAsia" w:ascii="楷体" w:hAnsi="楷体" w:eastAsia="楷体" w:cs="楷体"/>
          <w:color w:val="000000"/>
          <w:kern w:val="0"/>
          <w:sz w:val="32"/>
          <w:szCs w:val="32"/>
        </w:rPr>
        <w:t>（二）实施期限。</w:t>
      </w:r>
      <w:r>
        <w:rPr>
          <w:rFonts w:hint="eastAsia" w:ascii="仿宋" w:hAnsi="仿宋" w:eastAsia="仿宋" w:cs="宋体"/>
          <w:color w:val="000000"/>
          <w:kern w:val="0"/>
          <w:sz w:val="32"/>
          <w:szCs w:val="32"/>
        </w:rPr>
        <w:t>2021年早稻开始，至冬种收获轮作周期结束，为期 1年度。（2021年2月至2022年2月）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四、试点区域和技术路线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（一）试点区域。</w:t>
      </w:r>
      <w:r>
        <w:rPr>
          <w:rFonts w:hint="eastAsia" w:ascii="仿宋" w:hAnsi="仿宋" w:eastAsia="仿宋" w:cs="宋体"/>
          <w:kern w:val="0"/>
          <w:sz w:val="32"/>
          <w:szCs w:val="32"/>
        </w:rPr>
        <w:t>按本《方案》的技术路线要求，各镇（街）组织辖区村委会发动有关农户积极参与，镇（街）农办做好《2021年新会区双季稻轮作试点登记清册》登记工作（详见附件1）；</w:t>
      </w:r>
      <w:r>
        <w:rPr>
          <w:rFonts w:hint="eastAsia" w:ascii="仿宋" w:hAnsi="仿宋" w:eastAsia="仿宋" w:cs="宋体"/>
          <w:color w:val="000000"/>
          <w:kern w:val="0"/>
          <w:sz w:val="32"/>
          <w:szCs w:val="32"/>
        </w:rPr>
        <w:t>各镇（街）农办在</w:t>
      </w:r>
      <w:r>
        <w:rPr>
          <w:rFonts w:ascii="仿宋" w:hAnsi="仿宋" w:eastAsia="仿宋" w:cs="宋体"/>
          <w:color w:val="000000"/>
          <w:kern w:val="0"/>
          <w:sz w:val="32"/>
          <w:szCs w:val="32"/>
        </w:rPr>
        <w:t>本辖区内</w:t>
      </w:r>
      <w:r>
        <w:rPr>
          <w:rFonts w:hint="eastAsia" w:ascii="仿宋" w:hAnsi="仿宋" w:eastAsia="仿宋" w:cs="宋体"/>
          <w:color w:val="000000"/>
          <w:kern w:val="0"/>
          <w:sz w:val="32"/>
          <w:szCs w:val="32"/>
        </w:rPr>
        <w:t>遴选</w:t>
      </w:r>
      <w:r>
        <w:rPr>
          <w:rFonts w:ascii="仿宋" w:hAnsi="仿宋" w:eastAsia="仿宋" w:cs="宋体"/>
          <w:color w:val="000000"/>
          <w:kern w:val="0"/>
          <w:sz w:val="32"/>
          <w:szCs w:val="32"/>
        </w:rPr>
        <w:t>有一定基础和工作积极性较高</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适合</w:t>
      </w:r>
      <w:r>
        <w:rPr>
          <w:rFonts w:hint="eastAsia" w:ascii="仿宋" w:hAnsi="仿宋" w:eastAsia="仿宋" w:cs="宋体"/>
          <w:color w:val="000000"/>
          <w:kern w:val="0"/>
          <w:sz w:val="32"/>
          <w:szCs w:val="32"/>
        </w:rPr>
        <w:t>冬种</w:t>
      </w:r>
      <w:r>
        <w:rPr>
          <w:rFonts w:ascii="仿宋" w:hAnsi="仿宋" w:eastAsia="仿宋" w:cs="宋体"/>
          <w:color w:val="000000"/>
          <w:kern w:val="0"/>
          <w:sz w:val="32"/>
          <w:szCs w:val="32"/>
        </w:rPr>
        <w:t>油</w:t>
      </w:r>
      <w:r>
        <w:rPr>
          <w:rFonts w:ascii="仿宋" w:hAnsi="仿宋" w:eastAsia="仿宋" w:cs="宋体"/>
          <w:color w:val="000000"/>
          <w:kern w:val="0"/>
          <w:sz w:val="32"/>
          <w:szCs w:val="32"/>
          <w:highlight w:val="none"/>
        </w:rPr>
        <w:t>菜</w:t>
      </w:r>
      <w:r>
        <w:rPr>
          <w:rFonts w:hint="eastAsia" w:ascii="仿宋" w:hAnsi="仿宋" w:eastAsia="仿宋" w:cs="宋体"/>
          <w:color w:val="000000"/>
          <w:kern w:val="0"/>
          <w:sz w:val="32"/>
          <w:szCs w:val="32"/>
          <w:highlight w:val="none"/>
        </w:rPr>
        <w:t>、排灌</w:t>
      </w:r>
      <w:r>
        <w:rPr>
          <w:rFonts w:ascii="仿宋" w:hAnsi="仿宋" w:eastAsia="仿宋" w:cs="宋体"/>
          <w:color w:val="000000"/>
          <w:kern w:val="0"/>
          <w:sz w:val="32"/>
          <w:szCs w:val="32"/>
          <w:highlight w:val="none"/>
        </w:rPr>
        <w:t>方便的</w:t>
      </w:r>
      <w:r>
        <w:rPr>
          <w:rFonts w:hint="eastAsia" w:ascii="仿宋" w:hAnsi="仿宋" w:eastAsia="仿宋" w:cs="宋体"/>
          <w:color w:val="000000"/>
          <w:kern w:val="0"/>
          <w:sz w:val="32"/>
          <w:szCs w:val="32"/>
          <w:highlight w:val="none"/>
        </w:rPr>
        <w:t>试点村，经镇、村二级公示（7个工作日）无异议后，于</w:t>
      </w:r>
      <w:r>
        <w:rPr>
          <w:rFonts w:hint="eastAsia" w:ascii="仿宋" w:hAnsi="仿宋" w:eastAsia="仿宋" w:cs="宋体"/>
          <w:kern w:val="0"/>
          <w:sz w:val="32"/>
          <w:szCs w:val="32"/>
          <w:highlight w:val="none"/>
        </w:rPr>
        <w:t>2021年7月</w:t>
      </w:r>
      <w:r>
        <w:rPr>
          <w:rFonts w:ascii="仿宋" w:hAnsi="仿宋" w:eastAsia="仿宋" w:cs="宋体"/>
          <w:kern w:val="0"/>
          <w:sz w:val="32"/>
          <w:szCs w:val="32"/>
          <w:highlight w:val="none"/>
        </w:rPr>
        <w:t>23</w:t>
      </w:r>
      <w:r>
        <w:rPr>
          <w:rFonts w:hint="eastAsia" w:ascii="仿宋" w:hAnsi="仿宋" w:eastAsia="仿宋" w:cs="宋体"/>
          <w:kern w:val="0"/>
          <w:sz w:val="32"/>
          <w:szCs w:val="32"/>
          <w:highlight w:val="none"/>
        </w:rPr>
        <w:t>日</w:t>
      </w:r>
      <w:r>
        <w:rPr>
          <w:rFonts w:ascii="仿宋" w:hAnsi="仿宋" w:eastAsia="仿宋" w:cs="宋体"/>
          <w:kern w:val="0"/>
          <w:sz w:val="32"/>
          <w:szCs w:val="32"/>
          <w:highlight w:val="none"/>
        </w:rPr>
        <w:t>前</w:t>
      </w:r>
      <w:r>
        <w:rPr>
          <w:rFonts w:hint="eastAsia" w:ascii="仿宋" w:hAnsi="仿宋" w:eastAsia="仿宋" w:cs="宋体"/>
          <w:color w:val="000000"/>
          <w:kern w:val="0"/>
          <w:sz w:val="32"/>
          <w:szCs w:val="32"/>
          <w:highlight w:val="none"/>
        </w:rPr>
        <w:t>向区农业农村局推荐（含附件1、2、</w:t>
      </w:r>
      <w:r>
        <w:rPr>
          <w:rFonts w:ascii="仿宋" w:hAnsi="仿宋" w:eastAsia="仿宋" w:cs="宋体"/>
          <w:color w:val="000000"/>
          <w:kern w:val="0"/>
          <w:sz w:val="32"/>
          <w:szCs w:val="32"/>
          <w:highlight w:val="none"/>
        </w:rPr>
        <w:t>4</w:t>
      </w:r>
      <w:r>
        <w:rPr>
          <w:rFonts w:hint="eastAsia" w:ascii="仿宋" w:hAnsi="仿宋" w:eastAsia="仿宋" w:cs="宋体"/>
          <w:color w:val="000000"/>
          <w:kern w:val="0"/>
          <w:sz w:val="32"/>
          <w:szCs w:val="32"/>
          <w:highlight w:val="none"/>
        </w:rPr>
        <w:t>以及公示</w:t>
      </w:r>
      <w:r>
        <w:rPr>
          <w:rFonts w:ascii="仿宋" w:hAnsi="仿宋" w:eastAsia="仿宋" w:cs="宋体"/>
          <w:color w:val="000000"/>
          <w:kern w:val="0"/>
          <w:sz w:val="32"/>
          <w:szCs w:val="32"/>
          <w:highlight w:val="none"/>
        </w:rPr>
        <w:t>照片</w:t>
      </w:r>
      <w:r>
        <w:rPr>
          <w:rFonts w:hint="eastAsia" w:ascii="仿宋" w:hAnsi="仿宋" w:cs="宋体"/>
          <w:color w:val="000000"/>
          <w:kern w:val="0"/>
          <w:sz w:val="32"/>
          <w:szCs w:val="32"/>
          <w:highlight w:val="none"/>
          <w:lang w:val="en-US" w:eastAsia="zh-CN"/>
        </w:rPr>
        <w:t>和区域位置图</w:t>
      </w:r>
      <w:r>
        <w:rPr>
          <w:rFonts w:hint="eastAsia" w:ascii="仿宋" w:hAnsi="仿宋" w:eastAsia="仿宋" w:cs="宋体"/>
          <w:color w:val="000000"/>
          <w:kern w:val="0"/>
          <w:sz w:val="32"/>
          <w:szCs w:val="32"/>
          <w:highlight w:val="none"/>
        </w:rPr>
        <w:t>）；</w:t>
      </w:r>
      <w:r>
        <w:rPr>
          <w:rFonts w:hint="eastAsia" w:ascii="仿宋" w:hAnsi="仿宋" w:eastAsia="仿宋" w:cs="宋体"/>
          <w:color w:val="000000"/>
          <w:kern w:val="0"/>
          <w:sz w:val="32"/>
          <w:szCs w:val="32"/>
        </w:rPr>
        <w:t>区农业农村局依据各镇（街）农办的推荐情况，按镇（街）试点面积由大到小优先确定全区的试点镇（街）、村（下称试点区域</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，并在新会区政府信息公开平台公开公示确定结果（7个工作日）。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（二）技术路线。</w:t>
      </w:r>
      <w:r>
        <w:rPr>
          <w:rFonts w:hint="eastAsia" w:ascii="仿宋" w:hAnsi="仿宋" w:eastAsia="仿宋" w:cs="宋体"/>
          <w:color w:val="000000"/>
          <w:kern w:val="0"/>
          <w:sz w:val="32"/>
          <w:szCs w:val="32"/>
        </w:rPr>
        <w:t>采用“双季稻+冬种油菜”的水旱轮作、用地养地相结合生态种植技术模式。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cs="宋体"/>
          <w:color w:val="000000"/>
          <w:kern w:val="0"/>
          <w:sz w:val="32"/>
          <w:szCs w:val="32"/>
          <w:lang w:eastAsia="zh-CN"/>
        </w:rPr>
        <w:t>、</w:t>
      </w:r>
      <w:r>
        <w:rPr>
          <w:rFonts w:hint="eastAsia" w:ascii="仿宋" w:hAnsi="仿宋" w:eastAsia="仿宋" w:cs="宋体"/>
          <w:color w:val="000000"/>
          <w:kern w:val="0"/>
          <w:sz w:val="32"/>
          <w:szCs w:val="32"/>
        </w:rPr>
        <w:t>试点区域必须落在粮食（水稻）生产功能区内，每个试点区域连片实施面积不小于（含） 50 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cs="宋体"/>
          <w:color w:val="000000"/>
          <w:kern w:val="0"/>
          <w:sz w:val="32"/>
          <w:szCs w:val="32"/>
          <w:lang w:eastAsia="zh-CN"/>
        </w:rPr>
        <w:t>、</w:t>
      </w:r>
      <w:r>
        <w:rPr>
          <w:rFonts w:hint="eastAsia" w:ascii="仿宋" w:hAnsi="仿宋" w:eastAsia="仿宋" w:cs="宋体"/>
          <w:color w:val="000000"/>
          <w:kern w:val="0"/>
          <w:sz w:val="32"/>
          <w:szCs w:val="32"/>
        </w:rPr>
        <w:t>试点区域内必须种植双季稻和冬种油菜。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hint="eastAsia" w:ascii="仿宋" w:hAnsi="仿宋" w:cs="宋体"/>
          <w:color w:val="000000"/>
          <w:kern w:val="0"/>
          <w:sz w:val="32"/>
          <w:szCs w:val="32"/>
          <w:lang w:eastAsia="zh-CN"/>
        </w:rPr>
        <w:t>、</w:t>
      </w:r>
      <w:r>
        <w:rPr>
          <w:rFonts w:hint="eastAsia" w:ascii="仿宋" w:hAnsi="仿宋" w:eastAsia="仿宋" w:cs="宋体"/>
          <w:color w:val="000000"/>
          <w:kern w:val="0"/>
          <w:sz w:val="32"/>
          <w:szCs w:val="32"/>
        </w:rPr>
        <w:t>试点区域实施秸秆还田及其它综合利用。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cs="宋体"/>
          <w:color w:val="000000"/>
          <w:kern w:val="0"/>
          <w:sz w:val="32"/>
          <w:szCs w:val="32"/>
          <w:lang w:eastAsia="zh-CN"/>
        </w:rPr>
        <w:t>、</w:t>
      </w:r>
      <w:r>
        <w:rPr>
          <w:rFonts w:hint="eastAsia" w:ascii="仿宋" w:hAnsi="仿宋" w:eastAsia="仿宋" w:cs="宋体"/>
          <w:color w:val="000000"/>
          <w:kern w:val="0"/>
          <w:sz w:val="32"/>
          <w:szCs w:val="32"/>
        </w:rPr>
        <w:t>试点区域按《省耕地质量监测评价规程》进行耕地质量监测评价，我区试点面积不足 1 万亩，按《省方案》要求设定 1 个监测点。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hint="eastAsia" w:ascii="仿宋" w:hAnsi="仿宋" w:cs="宋体"/>
          <w:color w:val="000000"/>
          <w:kern w:val="0"/>
          <w:sz w:val="32"/>
          <w:szCs w:val="32"/>
          <w:lang w:eastAsia="zh-CN"/>
        </w:rPr>
        <w:t>、</w:t>
      </w:r>
      <w:r>
        <w:rPr>
          <w:rFonts w:hint="eastAsia" w:ascii="仿宋" w:hAnsi="仿宋" w:eastAsia="仿宋" w:cs="宋体"/>
          <w:color w:val="000000"/>
          <w:kern w:val="0"/>
          <w:sz w:val="32"/>
          <w:szCs w:val="32"/>
        </w:rPr>
        <w:t>建立试点区域台账，登记试点区域面积、区域位置、涉及农户信息、种植作物信息、每一季作物种植和长势影像图片资料、补助信息等。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五、实施主体和方式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（一）实施主体。</w:t>
      </w:r>
      <w:r>
        <w:rPr>
          <w:rFonts w:hint="eastAsia" w:ascii="仿宋" w:hAnsi="仿宋" w:eastAsia="仿宋" w:cs="宋体"/>
          <w:color w:val="000000"/>
          <w:kern w:val="0"/>
          <w:sz w:val="32"/>
          <w:szCs w:val="32"/>
        </w:rPr>
        <w:t>试点区域镇（街）农办为实施主体。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（二）实施方式。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1、开展社会化服务。由区农业农村局</w:t>
      </w:r>
      <w:r>
        <w:rPr>
          <w:rFonts w:hint="eastAsia" w:ascii="仿宋" w:hAnsi="仿宋" w:eastAsia="仿宋" w:cs="仿宋"/>
          <w:color w:val="000000"/>
          <w:kern w:val="0"/>
          <w:sz w:val="32"/>
          <w:szCs w:val="32"/>
        </w:rPr>
        <w:t>按政府采购管理</w:t>
      </w:r>
      <w:r>
        <w:rPr>
          <w:rFonts w:hint="eastAsia" w:ascii="仿宋" w:hAnsi="仿宋" w:eastAsia="仿宋" w:cs="宋体"/>
          <w:color w:val="000000"/>
          <w:kern w:val="0"/>
          <w:sz w:val="32"/>
          <w:szCs w:val="32"/>
        </w:rPr>
        <w:t>规定，确定一个中标供应商开展技术指导、宣传培训、建立试点台账、标竖示范标牌、耕地质量监测评价、效益评估、满意度调查、总结审计验收，以及对全区0.5万亩试点区域的冬种油菜播种和施肥等10项社会化服务（详见附件3）。</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pPr>
      <w:r>
        <w:rPr>
          <w:rFonts w:hint="eastAsia" w:ascii="仿宋" w:hAnsi="仿宋" w:eastAsia="仿宋" w:cs="宋体"/>
          <w:kern w:val="0"/>
          <w:sz w:val="32"/>
          <w:szCs w:val="32"/>
        </w:rPr>
        <w:t>2、镇（街）农办组织村与农户积极实施。早、晚稻由农户种植收获；在冬种油菜过程中，镇（街）农办要组织各试点村和农户按技术指导要求，积极做好开沟、管水、追肥、病虫害防控和采收等工作。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六、补助方式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（一）资金规模。</w:t>
      </w:r>
      <w:r>
        <w:rPr>
          <w:rFonts w:hint="eastAsia" w:ascii="仿宋" w:hAnsi="仿宋" w:eastAsia="仿宋" w:cs="宋体"/>
          <w:color w:val="000000"/>
          <w:kern w:val="0"/>
          <w:sz w:val="32"/>
          <w:szCs w:val="32"/>
        </w:rPr>
        <w:t>市下达我区</w:t>
      </w:r>
      <w:r>
        <w:rPr>
          <w:rFonts w:ascii="仿宋" w:hAnsi="仿宋" w:eastAsia="仿宋" w:cs="宋体"/>
          <w:color w:val="000000"/>
          <w:kern w:val="0"/>
          <w:sz w:val="32"/>
          <w:szCs w:val="32"/>
        </w:rPr>
        <w:t>2021 年中央农业资源及生态保护补助资金（轮作休耕试点）</w:t>
      </w:r>
      <w:r>
        <w:rPr>
          <w:rFonts w:hint="eastAsia" w:ascii="仿宋" w:hAnsi="仿宋" w:eastAsia="仿宋" w:cs="宋体"/>
          <w:color w:val="000000"/>
          <w:kern w:val="0"/>
          <w:sz w:val="32"/>
          <w:szCs w:val="32"/>
        </w:rPr>
        <w:t>75万元（约束性任务）。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（二）补助方式。</w:t>
      </w:r>
      <w:r>
        <w:rPr>
          <w:rFonts w:hint="eastAsia" w:ascii="仿宋" w:hAnsi="仿宋" w:eastAsia="仿宋" w:cs="宋体"/>
          <w:color w:val="000000"/>
          <w:kern w:val="0"/>
          <w:sz w:val="32"/>
          <w:szCs w:val="32"/>
        </w:rPr>
        <w:t>按本项目的《社会化服务合同》条款和进度，由区农业农村局报请</w:t>
      </w:r>
      <w:r>
        <w:rPr>
          <w:rFonts w:hint="eastAsia" w:ascii="仿宋" w:hAnsi="仿宋" w:eastAsia="仿宋" w:cs="仿宋"/>
          <w:color w:val="000000"/>
          <w:kern w:val="0"/>
          <w:sz w:val="32"/>
          <w:szCs w:val="32"/>
        </w:rPr>
        <w:t>区财政局将</w:t>
      </w:r>
      <w:r>
        <w:rPr>
          <w:rFonts w:hint="eastAsia" w:ascii="仿宋" w:hAnsi="仿宋" w:eastAsia="仿宋" w:cs="宋体"/>
          <w:color w:val="000000"/>
          <w:kern w:val="0"/>
          <w:sz w:val="32"/>
          <w:szCs w:val="32"/>
        </w:rPr>
        <w:t>补助资金补助给</w:t>
      </w:r>
      <w:r>
        <w:rPr>
          <w:rFonts w:hint="eastAsia" w:ascii="仿宋" w:hAnsi="仿宋" w:eastAsia="仿宋" w:cs="仿宋"/>
          <w:color w:val="000000"/>
          <w:kern w:val="0"/>
          <w:sz w:val="32"/>
          <w:szCs w:val="32"/>
        </w:rPr>
        <w:t>中标供应商。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七、工作要求和保障措施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color w:val="000000"/>
          <w:kern w:val="0"/>
          <w:sz w:val="32"/>
          <w:szCs w:val="32"/>
        </w:rPr>
      </w:pPr>
      <w:r>
        <w:rPr>
          <w:rFonts w:hint="eastAsia" w:ascii="楷体" w:hAnsi="楷体" w:eastAsia="楷体" w:cs="楷体"/>
          <w:color w:val="000000"/>
          <w:kern w:val="0"/>
          <w:sz w:val="32"/>
          <w:szCs w:val="32"/>
        </w:rPr>
        <w:t>（一）加强组织领导。</w:t>
      </w:r>
      <w:r>
        <w:rPr>
          <w:rFonts w:hint="eastAsia" w:ascii="仿宋" w:hAnsi="仿宋" w:eastAsia="仿宋" w:cs="宋体"/>
          <w:color w:val="000000"/>
          <w:kern w:val="0"/>
          <w:sz w:val="32"/>
          <w:szCs w:val="32"/>
        </w:rPr>
        <w:t>实行区抓落实的工作机制。成立由区政府分管领导任组长，区农业农村局、区财政局为成员的推进落实领导小组，全面落实试点任务和要求，保障试点工作有序开展、取得实效。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pPr>
      <w:r>
        <w:rPr>
          <w:rFonts w:hint="eastAsia" w:ascii="楷体" w:hAnsi="楷体" w:eastAsia="楷体" w:cs="楷体"/>
          <w:color w:val="000000"/>
          <w:kern w:val="0"/>
          <w:sz w:val="32"/>
          <w:szCs w:val="32"/>
        </w:rPr>
        <w:t>（二）细化实化任务。</w:t>
      </w:r>
      <w:r>
        <w:rPr>
          <w:rFonts w:hint="eastAsia" w:ascii="仿宋" w:hAnsi="仿宋" w:eastAsia="仿宋" w:cs="宋体"/>
          <w:color w:val="000000"/>
          <w:kern w:val="0"/>
          <w:sz w:val="32"/>
          <w:szCs w:val="32"/>
        </w:rPr>
        <w:t>层层落实责任，试点区域镇（街）农办</w:t>
      </w:r>
      <w:r>
        <w:rPr>
          <w:rFonts w:hint="eastAsia" w:ascii="仿宋" w:hAnsi="仿宋" w:eastAsia="仿宋" w:cs="宋体"/>
          <w:kern w:val="0"/>
          <w:sz w:val="32"/>
          <w:szCs w:val="32"/>
        </w:rPr>
        <w:t>与示范村（含农户</w:t>
      </w:r>
      <w:r>
        <w:rPr>
          <w:rFonts w:ascii="仿宋" w:hAnsi="仿宋" w:eastAsia="仿宋" w:cs="宋体"/>
          <w:kern w:val="0"/>
          <w:sz w:val="32"/>
          <w:szCs w:val="32"/>
        </w:rPr>
        <w:t>）</w:t>
      </w:r>
      <w:r>
        <w:rPr>
          <w:rFonts w:hint="eastAsia" w:ascii="仿宋" w:hAnsi="仿宋" w:eastAsia="仿宋" w:cs="宋体"/>
          <w:kern w:val="0"/>
          <w:sz w:val="32"/>
          <w:szCs w:val="32"/>
        </w:rPr>
        <w:t>签订双稻稻轮作试点协议（详见附件4），明确相关权利、责任和义务，保障试点工作规范有序开展。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pPr>
      <w:r>
        <w:rPr>
          <w:rFonts w:hint="eastAsia" w:ascii="楷体" w:hAnsi="楷体" w:eastAsia="楷体" w:cs="楷体"/>
          <w:color w:val="000000"/>
          <w:kern w:val="0"/>
          <w:sz w:val="32"/>
          <w:szCs w:val="32"/>
        </w:rPr>
        <w:t>（三）加强指导督查。</w:t>
      </w:r>
      <w:r>
        <w:rPr>
          <w:rFonts w:hint="eastAsia" w:ascii="仿宋" w:hAnsi="仿宋" w:eastAsia="仿宋" w:cs="宋体"/>
          <w:kern w:val="0"/>
          <w:sz w:val="32"/>
          <w:szCs w:val="32"/>
        </w:rPr>
        <w:t>区农业农村局、试点区域农办和中标供应商强化技术指导服务；区农业农村局和区财政局联合加强督导检查。试点区域的镇（街）要做好村、农户配合中标供应商的协调工作。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pPr>
      <w:r>
        <w:rPr>
          <w:rFonts w:hint="eastAsia" w:ascii="楷体" w:hAnsi="楷体" w:eastAsia="楷体" w:cs="楷体"/>
          <w:color w:val="000000"/>
          <w:kern w:val="0"/>
          <w:sz w:val="32"/>
          <w:szCs w:val="32"/>
        </w:rPr>
        <w:t>（四）搞好总结宣传。</w:t>
      </w:r>
      <w:r>
        <w:rPr>
          <w:rFonts w:hint="eastAsia" w:ascii="仿宋" w:hAnsi="仿宋" w:eastAsia="仿宋" w:cs="宋体"/>
          <w:kern w:val="0"/>
          <w:sz w:val="32"/>
          <w:szCs w:val="32"/>
        </w:rPr>
        <w:t>充分利用广播、电视、网络等媒体，宣传双季稻轮作的重要意义和有关要求，引导社会各界关注支持双季稻轮作试点工作。通过现场观摩、经验交流、典型示范等方式，宣传有关成效，营造良好舆论氛围。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pPr>
      <w:r>
        <w:rPr>
          <w:rFonts w:hint="eastAsia" w:ascii="楷体" w:hAnsi="楷体" w:eastAsia="楷体" w:cs="楷体"/>
          <w:color w:val="000000"/>
          <w:kern w:val="0"/>
          <w:sz w:val="32"/>
          <w:szCs w:val="32"/>
        </w:rPr>
        <w:t>（五）报送情况。</w:t>
      </w:r>
      <w:r>
        <w:rPr>
          <w:rFonts w:hint="eastAsia" w:ascii="仿宋" w:hAnsi="仿宋" w:eastAsia="仿宋" w:cs="宋体"/>
          <w:kern w:val="0"/>
          <w:sz w:val="32"/>
          <w:szCs w:val="32"/>
        </w:rPr>
        <w:t>根据农业农村部对财政资金“双监控”的要求，区农业农村局在每个季度结束后 5 日内向省农业农村厅和江门市农业农村局报送工作进展和资金使用情况。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pPr>
      <w:r>
        <w:rPr>
          <w:rFonts w:hint="eastAsia" w:ascii="楷体" w:hAnsi="楷体" w:eastAsia="楷体" w:cs="楷体"/>
          <w:color w:val="000000"/>
          <w:kern w:val="0"/>
          <w:sz w:val="32"/>
          <w:szCs w:val="32"/>
        </w:rPr>
        <w:t>（六）做好验收。</w:t>
      </w:r>
      <w:r>
        <w:rPr>
          <w:rFonts w:hint="eastAsia" w:ascii="仿宋" w:hAnsi="仿宋" w:eastAsia="仿宋" w:cs="仿宋"/>
          <w:kern w:val="0"/>
          <w:sz w:val="32"/>
          <w:szCs w:val="32"/>
        </w:rPr>
        <w:t>中标供应商</w:t>
      </w:r>
      <w:r>
        <w:rPr>
          <w:rFonts w:hint="eastAsia" w:ascii="仿宋" w:hAnsi="仿宋" w:eastAsia="仿宋" w:cs="宋体"/>
          <w:kern w:val="0"/>
          <w:sz w:val="32"/>
          <w:szCs w:val="32"/>
        </w:rPr>
        <w:t>于2022年1月底前完成项目，并</w:t>
      </w:r>
      <w:r>
        <w:rPr>
          <w:rFonts w:hint="eastAsia" w:ascii="仿宋" w:hAnsi="仿宋" w:eastAsia="仿宋" w:cs="仿宋"/>
          <w:kern w:val="0"/>
          <w:sz w:val="32"/>
          <w:szCs w:val="32"/>
        </w:rPr>
        <w:t>向区农业农村局提出区级验收申请，</w:t>
      </w:r>
      <w:r>
        <w:rPr>
          <w:rFonts w:hint="eastAsia" w:ascii="仿宋" w:hAnsi="仿宋" w:eastAsia="仿宋" w:cs="宋体"/>
          <w:kern w:val="0"/>
          <w:sz w:val="32"/>
          <w:szCs w:val="32"/>
        </w:rPr>
        <w:t>区农业农村局组织种植和会计专业类，具中级（含）以上专业技术职称资格的3名专家进行区级验收，通过区级验收后，区农业农村局按要求向市农业农村局申请市级验收。</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pPr>
      <w:r>
        <w:rPr>
          <w:rFonts w:hint="eastAsia" w:ascii="仿宋" w:hAnsi="仿宋" w:eastAsia="仿宋" w:cs="宋体"/>
          <w:kern w:val="0"/>
          <w:sz w:val="32"/>
          <w:szCs w:val="32"/>
        </w:rPr>
        <w:t>附件：1.2021年新会区双季稻轮作试点登记清册</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ascii="仿宋" w:hAnsi="仿宋" w:eastAsia="仿宋" w:cs="宋体"/>
          <w:kern w:val="0"/>
          <w:sz w:val="32"/>
          <w:szCs w:val="32"/>
        </w:rPr>
      </w:pPr>
      <w:r>
        <w:rPr>
          <w:rFonts w:hint="eastAsia" w:ascii="仿宋" w:hAnsi="仿宋" w:eastAsia="仿宋" w:cs="宋体"/>
          <w:kern w:val="0"/>
          <w:sz w:val="32"/>
          <w:szCs w:val="32"/>
        </w:rPr>
        <w:t xml:space="preserve">2.2021年新会区双季稻轮作试点村遴选推荐表 </w:t>
      </w:r>
    </w:p>
    <w:p>
      <w:pPr>
        <w:keepNext w:val="0"/>
        <w:keepLines w:val="0"/>
        <w:pageBreakBefore w:val="0"/>
        <w:widowControl/>
        <w:kinsoku/>
        <w:wordWrap/>
        <w:overflowPunct/>
        <w:topLinePunct w:val="0"/>
        <w:autoSpaceDE/>
        <w:autoSpaceDN/>
        <w:bidi w:val="0"/>
        <w:adjustRightInd/>
        <w:snapToGrid/>
        <w:spacing w:line="560" w:lineRule="exact"/>
        <w:ind w:left="2240" w:leftChars="200" w:hanging="1600" w:hangingChars="500"/>
        <w:jc w:val="both"/>
        <w:textAlignment w:val="auto"/>
        <w:rPr>
          <w:rFonts w:ascii="仿宋" w:hAnsi="仿宋" w:eastAsia="仿宋" w:cs="宋体"/>
          <w:kern w:val="0"/>
          <w:sz w:val="32"/>
          <w:szCs w:val="32"/>
        </w:rPr>
      </w:pPr>
      <w:r>
        <w:rPr>
          <w:rFonts w:hint="eastAsia" w:ascii="仿宋" w:hAnsi="仿宋" w:eastAsia="仿宋" w:cs="宋体"/>
          <w:kern w:val="0"/>
          <w:sz w:val="32"/>
          <w:szCs w:val="32"/>
        </w:rPr>
        <w:t xml:space="preserve">      3.2021年新会区双季稻轮作试点社会化服务表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both"/>
        <w:textAlignment w:val="auto"/>
        <w:rPr>
          <w:rFonts w:ascii="仿宋" w:hAnsi="仿宋" w:eastAsia="仿宋" w:cs="宋体"/>
          <w:kern w:val="0"/>
          <w:sz w:val="32"/>
          <w:szCs w:val="32"/>
        </w:rPr>
      </w:pPr>
      <w:r>
        <w:rPr>
          <w:rFonts w:hint="eastAsia" w:ascii="仿宋" w:hAnsi="仿宋" w:eastAsia="仿宋" w:cs="宋体"/>
          <w:kern w:val="0"/>
          <w:sz w:val="32"/>
          <w:szCs w:val="32"/>
        </w:rPr>
        <w:t>4.新会区双季稻轮作试点协议（参考样本）</w:t>
      </w:r>
    </w:p>
    <w:p>
      <w:pPr>
        <w:keepNext w:val="0"/>
        <w:keepLines w:val="0"/>
        <w:pageBreakBefore w:val="0"/>
        <w:widowControl/>
        <w:kinsoku/>
        <w:wordWrap/>
        <w:overflowPunct/>
        <w:topLinePunct w:val="0"/>
        <w:autoSpaceDE/>
        <w:autoSpaceDN/>
        <w:bidi w:val="0"/>
        <w:adjustRightInd/>
        <w:snapToGrid/>
        <w:spacing w:line="560" w:lineRule="exact"/>
        <w:ind w:left="1600" w:leftChars="200" w:hanging="960" w:hangingChars="300"/>
        <w:jc w:val="both"/>
        <w:textAlignment w:val="auto"/>
        <w:rPr>
          <w:rFonts w:ascii="仿宋" w:hAnsi="仿宋" w:eastAsia="仿宋" w:cs="宋体"/>
          <w:kern w:val="0"/>
          <w:sz w:val="32"/>
          <w:szCs w:val="32"/>
        </w:rPr>
      </w:pP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宋体"/>
          <w:kern w:val="0"/>
          <w:sz w:val="32"/>
          <w:szCs w:val="32"/>
        </w:rPr>
        <w:sectPr>
          <w:headerReference r:id="rId4" w:type="first"/>
          <w:headerReference r:id="rId3" w:type="default"/>
          <w:footerReference r:id="rId5" w:type="default"/>
          <w:pgSz w:w="11906" w:h="16838"/>
          <w:pgMar w:top="1701" w:right="1587" w:bottom="1417" w:left="1587" w:header="851" w:footer="992" w:gutter="0"/>
          <w:pgNumType w:fmt="decimal"/>
          <w:cols w:space="425" w:num="1"/>
          <w:titlePg/>
          <w:docGrid w:type="lines" w:linePitch="312" w:charSpace="0"/>
        </w:sectPr>
      </w:pPr>
    </w:p>
    <w:p>
      <w:pPr>
        <w:adjustRightInd w:val="0"/>
        <w:snapToGrid w:val="0"/>
        <w:spacing w:line="590" w:lineRule="exact"/>
        <w:rPr>
          <w:rFonts w:ascii="仿宋" w:hAnsi="仿宋" w:eastAsia="仿宋" w:cs="方正小标宋简体"/>
          <w:sz w:val="32"/>
          <w:szCs w:val="32"/>
        </w:rPr>
      </w:pPr>
      <w:r>
        <w:rPr>
          <w:rFonts w:hint="eastAsia" w:ascii="仿宋" w:hAnsi="仿宋" w:eastAsia="仿宋" w:cs="仿宋"/>
          <w:sz w:val="32"/>
          <w:szCs w:val="32"/>
        </w:rPr>
        <w:t xml:space="preserve">附件1 </w:t>
      </w:r>
      <w:r>
        <w:rPr>
          <w:rFonts w:hint="eastAsia" w:ascii="黑体" w:hAnsi="黑体" w:eastAsia="黑体" w:cs="黑体"/>
          <w:sz w:val="32"/>
          <w:szCs w:val="32"/>
        </w:rPr>
        <w:t xml:space="preserve">  </w:t>
      </w:r>
      <w:r>
        <w:rPr>
          <w:rFonts w:hint="eastAsia" w:ascii="仿宋" w:hAnsi="仿宋" w:eastAsia="仿宋" w:cs="方正小标宋简体"/>
          <w:sz w:val="32"/>
          <w:szCs w:val="32"/>
        </w:rPr>
        <w:t xml:space="preserve">  </w:t>
      </w:r>
    </w:p>
    <w:p>
      <w:pPr>
        <w:adjustRightInd w:val="0"/>
        <w:snapToGrid w:val="0"/>
        <w:spacing w:line="59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2021年新会区双季稻轮作试点登记清册</w:t>
      </w:r>
    </w:p>
    <w:p>
      <w:pPr>
        <w:widowControl/>
        <w:ind w:firstLine="640" w:firstLineChars="200"/>
        <w:jc w:val="left"/>
        <w:rPr>
          <w:rFonts w:ascii="仿宋" w:hAnsi="仿宋" w:eastAsia="仿宋" w:cs="宋体"/>
          <w:kern w:val="0"/>
          <w:sz w:val="32"/>
          <w:szCs w:val="32"/>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村别（盖章）：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 xml:space="preserve"> </w:t>
      </w:r>
    </w:p>
    <w:tbl>
      <w:tblPr>
        <w:tblStyle w:val="10"/>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46"/>
        <w:gridCol w:w="1701"/>
        <w:gridCol w:w="1134"/>
        <w:gridCol w:w="1418"/>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346"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试点地块（土名）</w:t>
            </w:r>
          </w:p>
        </w:tc>
        <w:tc>
          <w:tcPr>
            <w:tcW w:w="170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参与农户姓名或名称</w:t>
            </w:r>
          </w:p>
        </w:tc>
        <w:tc>
          <w:tcPr>
            <w:tcW w:w="1134"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参与试点面积（亩）</w:t>
            </w:r>
          </w:p>
        </w:tc>
        <w:tc>
          <w:tcPr>
            <w:tcW w:w="1418"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是否同意由村委会签订协议</w:t>
            </w:r>
          </w:p>
        </w:tc>
        <w:tc>
          <w:tcPr>
            <w:tcW w:w="1559"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农户签字指模确认</w:t>
            </w:r>
          </w:p>
        </w:tc>
        <w:tc>
          <w:tcPr>
            <w:tcW w:w="1134"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346" w:type="dxa"/>
            <w:shd w:val="clear" w:color="auto" w:fill="auto"/>
            <w:noWrap w:val="0"/>
            <w:vAlign w:val="center"/>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1346" w:type="dxa"/>
            <w:shd w:val="clear" w:color="auto" w:fill="auto"/>
            <w:noWrap w:val="0"/>
            <w:vAlign w:val="top"/>
          </w:tcPr>
          <w:p>
            <w:pPr>
              <w:widowControl/>
              <w:jc w:val="center"/>
              <w:rPr>
                <w:rFonts w:ascii="仿宋" w:hAnsi="仿宋" w:eastAsia="仿宋" w:cs="宋体"/>
                <w:kern w:val="0"/>
                <w:sz w:val="28"/>
                <w:szCs w:val="28"/>
              </w:rPr>
            </w:pP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1346" w:type="dxa"/>
            <w:shd w:val="clear" w:color="auto" w:fill="auto"/>
            <w:noWrap w:val="0"/>
            <w:vAlign w:val="top"/>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全村合计</w:t>
            </w:r>
          </w:p>
        </w:tc>
        <w:tc>
          <w:tcPr>
            <w:tcW w:w="1701"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c>
          <w:tcPr>
            <w:tcW w:w="1418" w:type="dxa"/>
            <w:shd w:val="clear" w:color="auto" w:fill="auto"/>
            <w:noWrap w:val="0"/>
            <w:vAlign w:val="center"/>
          </w:tcPr>
          <w:p>
            <w:pPr>
              <w:widowControl/>
              <w:jc w:val="center"/>
              <w:rPr>
                <w:rFonts w:ascii="仿宋" w:hAnsi="仿宋" w:eastAsia="仿宋" w:cs="宋体"/>
                <w:kern w:val="0"/>
                <w:sz w:val="28"/>
                <w:szCs w:val="28"/>
              </w:rPr>
            </w:pPr>
          </w:p>
        </w:tc>
        <w:tc>
          <w:tcPr>
            <w:tcW w:w="1559" w:type="dxa"/>
            <w:shd w:val="clear" w:color="auto" w:fill="auto"/>
            <w:noWrap w:val="0"/>
            <w:vAlign w:val="center"/>
          </w:tcPr>
          <w:p>
            <w:pPr>
              <w:widowControl/>
              <w:jc w:val="center"/>
              <w:rPr>
                <w:rFonts w:ascii="仿宋" w:hAnsi="仿宋" w:eastAsia="仿宋" w:cs="宋体"/>
                <w:kern w:val="0"/>
                <w:sz w:val="28"/>
                <w:szCs w:val="28"/>
              </w:rPr>
            </w:pPr>
          </w:p>
        </w:tc>
        <w:tc>
          <w:tcPr>
            <w:tcW w:w="1134" w:type="dxa"/>
            <w:shd w:val="clear" w:color="auto" w:fill="auto"/>
            <w:noWrap w:val="0"/>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6" w:hRule="atLeast"/>
        </w:trPr>
        <w:tc>
          <w:tcPr>
            <w:tcW w:w="781"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8292" w:type="dxa"/>
            <w:gridSpan w:val="6"/>
            <w:shd w:val="clear" w:color="auto" w:fill="auto"/>
            <w:noWrap w:val="0"/>
            <w:vAlign w:val="top"/>
          </w:tcPr>
          <w:p>
            <w:pPr>
              <w:widowControl/>
              <w:jc w:val="left"/>
              <w:rPr>
                <w:rFonts w:ascii="仿宋" w:hAnsi="仿宋" w:eastAsia="仿宋" w:cs="宋体"/>
                <w:b/>
                <w:kern w:val="0"/>
                <w:sz w:val="28"/>
                <w:szCs w:val="28"/>
              </w:rPr>
            </w:pPr>
            <w:r>
              <w:rPr>
                <w:rFonts w:hint="eastAsia" w:ascii="仿宋" w:hAnsi="仿宋" w:eastAsia="仿宋" w:cs="宋体"/>
                <w:b/>
                <w:kern w:val="0"/>
                <w:sz w:val="28"/>
                <w:szCs w:val="28"/>
              </w:rPr>
              <w:t>村委会申报意见：</w:t>
            </w:r>
          </w:p>
        </w:tc>
      </w:tr>
    </w:tbl>
    <w:p>
      <w:pPr>
        <w:widowControl/>
        <w:jc w:val="left"/>
        <w:rPr>
          <w:rFonts w:ascii="仿宋" w:hAnsi="仿宋" w:eastAsia="仿宋" w:cs="宋体"/>
          <w:b/>
          <w:kern w:val="0"/>
          <w:sz w:val="28"/>
          <w:szCs w:val="28"/>
        </w:rPr>
      </w:pPr>
      <w:r>
        <w:rPr>
          <w:rFonts w:hint="eastAsia" w:ascii="仿宋" w:hAnsi="仿宋" w:eastAsia="仿宋" w:cs="宋体"/>
          <w:b/>
          <w:kern w:val="0"/>
          <w:sz w:val="28"/>
          <w:szCs w:val="28"/>
        </w:rPr>
        <w:t>注：此清册的试点地块面积位于本村的粮食（水稻）生产功能区内，附盖村公章的区域位置图原件。</w:t>
      </w:r>
    </w:p>
    <w:p>
      <w:pPr>
        <w:widowControl/>
        <w:jc w:val="left"/>
        <w:rPr>
          <w:rFonts w:ascii="仿宋" w:hAnsi="仿宋" w:eastAsia="仿宋" w:cs="宋体"/>
          <w:b/>
          <w:kern w:val="0"/>
          <w:sz w:val="28"/>
          <w:szCs w:val="28"/>
        </w:rPr>
      </w:pPr>
      <w:r>
        <w:rPr>
          <w:rFonts w:hint="eastAsia" w:ascii="仿宋" w:hAnsi="仿宋" w:eastAsia="仿宋" w:cs="宋体"/>
          <w:b/>
          <w:kern w:val="0"/>
          <w:sz w:val="28"/>
          <w:szCs w:val="28"/>
        </w:rPr>
        <w:t xml:space="preserve">  </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村经办人签字：          村主任签字：</w:t>
      </w:r>
    </w:p>
    <w:p>
      <w:pPr>
        <w:widowControl/>
        <w:ind w:firstLine="4800" w:firstLineChars="1500"/>
        <w:jc w:val="left"/>
        <w:rPr>
          <w:rFonts w:ascii="仿宋" w:hAnsi="仿宋" w:eastAsia="仿宋" w:cs="宋体"/>
          <w:kern w:val="0"/>
          <w:sz w:val="32"/>
          <w:szCs w:val="32"/>
        </w:rPr>
      </w:pPr>
    </w:p>
    <w:p>
      <w:pPr>
        <w:widowControl/>
        <w:ind w:firstLine="3200" w:firstLineChars="1000"/>
        <w:jc w:val="left"/>
        <w:rPr>
          <w:rFonts w:ascii="仿宋" w:hAnsi="仿宋" w:eastAsia="仿宋" w:cs="宋体"/>
          <w:kern w:val="0"/>
          <w:sz w:val="32"/>
          <w:szCs w:val="32"/>
        </w:rPr>
      </w:pPr>
      <w:r>
        <w:rPr>
          <w:rFonts w:hint="eastAsia" w:ascii="仿宋" w:hAnsi="仿宋" w:eastAsia="仿宋" w:cs="宋体"/>
          <w:kern w:val="0"/>
          <w:sz w:val="32"/>
          <w:szCs w:val="32"/>
        </w:rPr>
        <w:t>申报日期：2021年</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月</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日</w:t>
      </w:r>
    </w:p>
    <w:p>
      <w:pPr>
        <w:adjustRightInd w:val="0"/>
        <w:snapToGrid w:val="0"/>
        <w:spacing w:line="590" w:lineRule="exact"/>
        <w:rPr>
          <w:rFonts w:ascii="黑体" w:hAnsi="黑体" w:eastAsia="黑体" w:cs="黑体"/>
          <w:sz w:val="32"/>
          <w:szCs w:val="32"/>
        </w:rPr>
        <w:sectPr>
          <w:pgSz w:w="11906" w:h="16838"/>
          <w:pgMar w:top="1440" w:right="1797" w:bottom="1440" w:left="1797" w:header="851" w:footer="992" w:gutter="0"/>
          <w:pgNumType w:fmt="decimal"/>
          <w:cols w:space="425" w:num="1"/>
          <w:docGrid w:linePitch="312" w:charSpace="0"/>
        </w:sectPr>
      </w:pPr>
    </w:p>
    <w:p>
      <w:pPr>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附件2</w:t>
      </w:r>
    </w:p>
    <w:p>
      <w:pPr>
        <w:adjustRightInd w:val="0"/>
        <w:snapToGrid w:val="0"/>
        <w:spacing w:line="59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2021年新会区双季稻轮作试点村遴选推荐表</w:t>
      </w:r>
    </w:p>
    <w:p>
      <w:pPr>
        <w:adjustRightInd w:val="0"/>
        <w:snapToGrid w:val="0"/>
        <w:spacing w:line="590" w:lineRule="exact"/>
        <w:jc w:val="left"/>
        <w:rPr>
          <w:rFonts w:ascii="仿宋" w:hAnsi="仿宋" w:eastAsia="仿宋" w:cs="宋体"/>
          <w:kern w:val="0"/>
          <w:sz w:val="32"/>
          <w:szCs w:val="32"/>
        </w:rPr>
      </w:pPr>
      <w:r>
        <w:rPr>
          <w:rFonts w:hint="eastAsia" w:ascii="仿宋" w:hAnsi="仿宋" w:eastAsia="仿宋" w:cs="宋体"/>
          <w:kern w:val="0"/>
          <w:sz w:val="32"/>
          <w:szCs w:val="32"/>
        </w:rPr>
        <w:t>推荐单位（公章）：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镇（街）农业农村办公室</w:t>
      </w:r>
    </w:p>
    <w:tbl>
      <w:tblPr>
        <w:tblStyle w:val="10"/>
        <w:tblW w:w="142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345"/>
        <w:gridCol w:w="1802"/>
        <w:gridCol w:w="1984"/>
        <w:gridCol w:w="2126"/>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89"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345"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试点村名</w:t>
            </w:r>
          </w:p>
        </w:tc>
        <w:tc>
          <w:tcPr>
            <w:tcW w:w="1802"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试点地块  （土名）</w:t>
            </w:r>
          </w:p>
        </w:tc>
        <w:tc>
          <w:tcPr>
            <w:tcW w:w="1984"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涉及参与农户 （户）</w:t>
            </w:r>
          </w:p>
        </w:tc>
        <w:tc>
          <w:tcPr>
            <w:tcW w:w="2126"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参与试点面积 （亩）</w:t>
            </w:r>
          </w:p>
        </w:tc>
        <w:tc>
          <w:tcPr>
            <w:tcW w:w="3544"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试点地块面积是否属于粮食（水稻）生产功能区</w:t>
            </w:r>
          </w:p>
        </w:tc>
        <w:tc>
          <w:tcPr>
            <w:tcW w:w="2693" w:type="dxa"/>
            <w:shd w:val="clear" w:color="auto" w:fill="auto"/>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345"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802"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98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126"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354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693" w:type="dxa"/>
            <w:vMerge w:val="restart"/>
            <w:shd w:val="clear" w:color="auto" w:fill="auto"/>
            <w:noWrap w:val="0"/>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同时提交相关佐证材料（盖公章原件和扫描件各一份）：           ①有关村的2021年新会区双季稻轮作试点登记申报清册；             ②遴选结果在镇、村二级的公示照片； ③区域位置图。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345"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802"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98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126"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354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693" w:type="dxa"/>
            <w:vMerge w:val="continue"/>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89"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345"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802"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98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126"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354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693" w:type="dxa"/>
            <w:vMerge w:val="continue"/>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789"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345"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802"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98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126"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354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693" w:type="dxa"/>
            <w:vMerge w:val="continue"/>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89"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345"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802"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198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126"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354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693" w:type="dxa"/>
            <w:vMerge w:val="continue"/>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89"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3147" w:type="dxa"/>
            <w:gridSpan w:val="2"/>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全镇（街）合计</w:t>
            </w:r>
          </w:p>
        </w:tc>
        <w:tc>
          <w:tcPr>
            <w:tcW w:w="198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126"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3544"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c>
          <w:tcPr>
            <w:tcW w:w="2693" w:type="dxa"/>
            <w:vMerge w:val="continue"/>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789" w:type="dxa"/>
            <w:shd w:val="clear" w:color="auto" w:fill="auto"/>
            <w:noWrap w:val="0"/>
            <w:vAlign w:val="center"/>
          </w:tcPr>
          <w:p>
            <w:pPr>
              <w:adjustRightInd w:val="0"/>
              <w:snapToGrid w:val="0"/>
              <w:spacing w:line="590" w:lineRule="exact"/>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3494" w:type="dxa"/>
            <w:gridSpan w:val="6"/>
            <w:shd w:val="clear" w:color="auto" w:fill="auto"/>
            <w:noWrap w:val="0"/>
            <w:vAlign w:val="center"/>
          </w:tcPr>
          <w:p>
            <w:pPr>
              <w:adjustRightInd w:val="0"/>
              <w:snapToGrid w:val="0"/>
              <w:spacing w:line="590" w:lineRule="exact"/>
              <w:rPr>
                <w:rFonts w:ascii="仿宋" w:hAnsi="仿宋" w:eastAsia="仿宋" w:cs="宋体"/>
                <w:b/>
                <w:kern w:val="0"/>
                <w:sz w:val="28"/>
                <w:szCs w:val="28"/>
              </w:rPr>
            </w:pPr>
            <w:r>
              <w:rPr>
                <w:rFonts w:hint="eastAsia" w:ascii="仿宋" w:hAnsi="仿宋" w:eastAsia="仿宋" w:cs="宋体"/>
                <w:b/>
                <w:kern w:val="0"/>
                <w:sz w:val="28"/>
                <w:szCs w:val="28"/>
              </w:rPr>
              <w:t>镇（街）农办推荐意见：</w:t>
            </w:r>
          </w:p>
        </w:tc>
      </w:tr>
    </w:tbl>
    <w:p>
      <w:pPr>
        <w:adjustRightInd w:val="0"/>
        <w:snapToGrid w:val="0"/>
        <w:spacing w:line="590" w:lineRule="exact"/>
        <w:jc w:val="left"/>
        <w:rPr>
          <w:rFonts w:ascii="仿宋" w:hAnsi="仿宋" w:eastAsia="仿宋" w:cs="宋体"/>
          <w:kern w:val="0"/>
          <w:sz w:val="32"/>
          <w:szCs w:val="32"/>
        </w:rPr>
      </w:pPr>
      <w:r>
        <w:rPr>
          <w:rFonts w:hint="eastAsia" w:ascii="仿宋" w:hAnsi="仿宋" w:eastAsia="仿宋" w:cs="宋体"/>
          <w:kern w:val="0"/>
          <w:sz w:val="32"/>
          <w:szCs w:val="32"/>
        </w:rPr>
        <w:t>农办经办人签字：             农办主任签字：              分管领导签字：</w:t>
      </w:r>
    </w:p>
    <w:p>
      <w:pPr>
        <w:adjustRightInd w:val="0"/>
        <w:snapToGrid w:val="0"/>
        <w:spacing w:line="590" w:lineRule="exact"/>
        <w:jc w:val="center"/>
        <w:rPr>
          <w:rFonts w:ascii="仿宋" w:hAnsi="仿宋" w:eastAsia="仿宋" w:cs="宋体"/>
          <w:b/>
          <w:sz w:val="44"/>
          <w:szCs w:val="44"/>
        </w:rPr>
      </w:pPr>
      <w:r>
        <w:rPr>
          <w:rFonts w:hint="eastAsia" w:ascii="仿宋" w:hAnsi="仿宋" w:eastAsia="仿宋" w:cs="宋体"/>
          <w:b/>
          <w:sz w:val="44"/>
          <w:szCs w:val="44"/>
        </w:rPr>
        <w:t xml:space="preserve">                                         </w:t>
      </w:r>
      <w:r>
        <w:rPr>
          <w:rFonts w:hint="eastAsia" w:ascii="仿宋" w:hAnsi="仿宋" w:eastAsia="仿宋" w:cs="宋体"/>
          <w:kern w:val="0"/>
          <w:sz w:val="32"/>
          <w:szCs w:val="32"/>
        </w:rPr>
        <w:t>推荐日期：2021年</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月</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 xml:space="preserve">日    </w:t>
      </w:r>
      <w:r>
        <w:rPr>
          <w:rFonts w:hint="eastAsia" w:ascii="仿宋" w:hAnsi="仿宋" w:eastAsia="仿宋" w:cs="宋体"/>
          <w:b/>
          <w:sz w:val="44"/>
          <w:szCs w:val="44"/>
        </w:rPr>
        <w:t xml:space="preserve">  </w:t>
      </w:r>
    </w:p>
    <w:p>
      <w:pPr>
        <w:adjustRightInd w:val="0"/>
        <w:snapToGrid w:val="0"/>
        <w:spacing w:line="590" w:lineRule="exact"/>
        <w:jc w:val="center"/>
        <w:rPr>
          <w:rFonts w:ascii="仿宋" w:hAnsi="仿宋" w:eastAsia="仿宋" w:cs="宋体"/>
          <w:b/>
          <w:kern w:val="0"/>
          <w:sz w:val="32"/>
          <w:szCs w:val="32"/>
        </w:rPr>
        <w:sectPr>
          <w:pgSz w:w="16838" w:h="11906" w:orient="landscape"/>
          <w:pgMar w:top="1797" w:right="1440" w:bottom="1797" w:left="1440" w:header="851" w:footer="992" w:gutter="0"/>
          <w:pgNumType w:fmt="decimal"/>
          <w:cols w:space="425" w:num="1"/>
          <w:docGrid w:linePitch="312" w:charSpace="0"/>
        </w:sectPr>
      </w:pPr>
    </w:p>
    <w:p>
      <w:pPr>
        <w:adjustRightInd w:val="0"/>
        <w:snapToGrid w:val="0"/>
        <w:spacing w:line="590" w:lineRule="exact"/>
        <w:rPr>
          <w:rFonts w:hint="eastAsia" w:ascii="仿宋" w:hAnsi="仿宋" w:eastAsia="仿宋" w:cs="仿宋"/>
          <w:sz w:val="44"/>
          <w:szCs w:val="44"/>
        </w:rPr>
      </w:pPr>
      <w:r>
        <w:rPr>
          <w:rFonts w:hint="eastAsia" w:ascii="仿宋" w:hAnsi="仿宋" w:eastAsia="仿宋" w:cs="仿宋"/>
          <w:sz w:val="44"/>
          <w:szCs w:val="44"/>
        </w:rPr>
        <w:t xml:space="preserve">附件3 </w:t>
      </w:r>
    </w:p>
    <w:p>
      <w:pPr>
        <w:adjustRightInd w:val="0"/>
        <w:snapToGrid w:val="0"/>
        <w:spacing w:line="59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2021年新会区双季稻轮作试点社会化服务表</w:t>
      </w:r>
    </w:p>
    <w:tbl>
      <w:tblPr>
        <w:tblStyle w:val="10"/>
        <w:tblW w:w="94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436"/>
        <w:gridCol w:w="3863"/>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序号</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社会化服务事项</w:t>
            </w:r>
          </w:p>
        </w:tc>
        <w:tc>
          <w:tcPr>
            <w:tcW w:w="7468"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1</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技术指导</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印发有关技术资料，开展技术指导</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每户</w:t>
            </w:r>
            <w:r>
              <w:rPr>
                <w:rFonts w:hint="eastAsia" w:ascii="仿宋" w:hAnsi="仿宋" w:cs="黑体"/>
                <w:kern w:val="0"/>
                <w:sz w:val="24"/>
                <w:lang w:val="en-US" w:eastAsia="zh-CN"/>
              </w:rPr>
              <w:t>参与农户</w:t>
            </w:r>
            <w:r>
              <w:rPr>
                <w:rFonts w:hint="eastAsia" w:ascii="仿宋" w:hAnsi="仿宋" w:eastAsia="仿宋" w:cs="黑体"/>
                <w:kern w:val="0"/>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2</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宣传培训</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在试点区域的镇（街）或村举办技</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术培训班和现场观摩（交流）会</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共3期以上（含），由具种植业类中级以上技术职称人员授课，每期培训人数不少于（含）30人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8"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3</w:t>
            </w:r>
          </w:p>
        </w:tc>
        <w:tc>
          <w:tcPr>
            <w:tcW w:w="1436"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建立试   点台账</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建立资金投入和使用情况，工作推进情况，双季稻轮作试点协议、面积、区域位置，农民信息、种植作物信息和补助信息，每一季作物种植、长势和实施过程的相关影像图片资料等台账</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形成电子、PDF和纸质等台账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6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p>
        </w:tc>
        <w:tc>
          <w:tcPr>
            <w:tcW w:w="143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记录早、晚稻播种种植情况（含面积、产量和总产量）</w:t>
            </w:r>
          </w:p>
        </w:tc>
        <w:tc>
          <w:tcPr>
            <w:tcW w:w="3605"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相应选取不少于（含）3个双季稻轮作试点村，每村选3户参试地块各实割1亩以上(含)，测定亩产和总产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6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p>
        </w:tc>
        <w:tc>
          <w:tcPr>
            <w:tcW w:w="143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记录冬种轮作情况（含面积、产量和总产量）</w:t>
            </w:r>
          </w:p>
        </w:tc>
        <w:tc>
          <w:tcPr>
            <w:tcW w:w="3605"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4</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冬种油   菜播种</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在晚稻收获前5天至收获后15天内，用无人机或人工方式，对轮作试点冬种油菜面积进行定量播种</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全区0.5万亩，亩播油菜种量0.</w:t>
            </w:r>
            <w:r>
              <w:rPr>
                <w:rFonts w:ascii="仿宋" w:hAnsi="仿宋" w:eastAsia="仿宋" w:cs="黑体"/>
                <w:kern w:val="0"/>
                <w:sz w:val="24"/>
              </w:rPr>
              <w:t>5</w:t>
            </w:r>
            <w:r>
              <w:rPr>
                <w:rFonts w:hint="eastAsia" w:ascii="仿宋" w:hAnsi="仿宋" w:eastAsia="仿宋" w:cs="黑体"/>
                <w:kern w:val="0"/>
                <w:sz w:val="24"/>
              </w:rPr>
              <w:t>公斤。冬种油菜品种为近2年在珠三角（含新会）冬种效果较好，可作蔬菜食用、赏花和培肥的油菜花品种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5</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冬种油   菜施肥</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于油菜</w:t>
            </w:r>
            <w:r>
              <w:rPr>
                <w:rFonts w:ascii="仿宋" w:hAnsi="仿宋" w:eastAsia="仿宋" w:cs="黑体"/>
                <w:kern w:val="0"/>
                <w:sz w:val="24"/>
              </w:rPr>
              <w:t>苗期</w:t>
            </w:r>
            <w:r>
              <w:rPr>
                <w:rFonts w:hint="eastAsia" w:ascii="仿宋" w:hAnsi="仿宋" w:eastAsia="仿宋" w:cs="黑体"/>
                <w:kern w:val="0"/>
                <w:sz w:val="24"/>
              </w:rPr>
              <w:t>，用无人机或人工方式，对轮作试点冬种油菜匀施追肥一次；</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全区0.5万亩，亩均匀撒施N+P2O5+K2O2≥30%的复混肥料或掺混肥料不少于（含）20公斤；施用的肥料登记适宜作物油菜，产品形态为颗粒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6</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标竖示   范标牌</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选取有代表性的二个双季稻轮作试点村标竖示范标牌</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共2个（每个规格：高1.2米，宽1.5米；蓝底白字， 材料为镀锌管、角铁和镀锌板等）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7</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耕地质量监测评价</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在轮作试点区域设定耕地质量监测点，对轮作试点区域耕地质量进行监测评价变化情况</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设立监测点1 个；按《省规程》取土样、检测和评价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8</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效益评估</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开展试点工作的经济、社会和生态效益等方面评估</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形成项目效益书面报告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6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9</w:t>
            </w:r>
          </w:p>
        </w:tc>
        <w:tc>
          <w:tcPr>
            <w:tcW w:w="143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满意度调查</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轮作试点镇（街）、村和农民评价</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50份问卷平均满意分数≥90分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8"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10</w:t>
            </w:r>
          </w:p>
        </w:tc>
        <w:tc>
          <w:tcPr>
            <w:tcW w:w="1436"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仿宋" w:hAnsi="仿宋" w:eastAsia="仿宋" w:cs="黑体"/>
                <w:kern w:val="0"/>
                <w:sz w:val="24"/>
              </w:rPr>
            </w:pPr>
            <w:r>
              <w:rPr>
                <w:rFonts w:hint="eastAsia" w:ascii="仿宋" w:hAnsi="仿宋" w:eastAsia="仿宋" w:cs="黑体"/>
                <w:kern w:val="0"/>
                <w:sz w:val="24"/>
              </w:rPr>
              <w:t>总结审计 验收</w:t>
            </w: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材料整理</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提交实施项目的有关材料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56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p>
        </w:tc>
        <w:tc>
          <w:tcPr>
            <w:tcW w:w="143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项目审计</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提交资质机构审计报告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568"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p>
        </w:tc>
        <w:tc>
          <w:tcPr>
            <w:tcW w:w="1436"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p>
        </w:tc>
        <w:tc>
          <w:tcPr>
            <w:tcW w:w="3863"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项目总结、验收</w:t>
            </w:r>
          </w:p>
        </w:tc>
        <w:tc>
          <w:tcPr>
            <w:tcW w:w="3605"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 w:hAnsi="仿宋" w:eastAsia="仿宋" w:cs="黑体"/>
                <w:kern w:val="0"/>
                <w:sz w:val="24"/>
              </w:rPr>
            </w:pPr>
            <w:r>
              <w:rPr>
                <w:rFonts w:hint="eastAsia" w:ascii="仿宋" w:hAnsi="仿宋" w:eastAsia="仿宋" w:cs="黑体"/>
                <w:kern w:val="0"/>
                <w:sz w:val="24"/>
              </w:rPr>
              <w:t>2022年1月底前完成总结，申请验收</w:t>
            </w:r>
          </w:p>
        </w:tc>
      </w:tr>
    </w:tbl>
    <w:p>
      <w:pPr>
        <w:keepNext w:val="0"/>
        <w:keepLines w:val="0"/>
        <w:pageBreakBefore w:val="0"/>
        <w:widowControl w:val="0"/>
        <w:kinsoku/>
        <w:wordWrap/>
        <w:overflowPunct/>
        <w:topLinePunct w:val="0"/>
        <w:autoSpaceDE/>
        <w:autoSpaceDN/>
        <w:bidi w:val="0"/>
        <w:adjustRightInd w:val="0"/>
        <w:snapToGrid w:val="0"/>
        <w:spacing w:line="280" w:lineRule="exact"/>
        <w:ind w:left="562" w:hanging="562" w:hangingChars="200"/>
        <w:jc w:val="left"/>
        <w:textAlignment w:val="auto"/>
        <w:rPr>
          <w:rFonts w:ascii="仿宋" w:hAnsi="仿宋" w:eastAsia="仿宋" w:cs="黑体"/>
          <w:b/>
          <w:sz w:val="28"/>
          <w:szCs w:val="28"/>
        </w:rPr>
      </w:pPr>
      <w:r>
        <w:rPr>
          <w:rFonts w:hint="eastAsia" w:ascii="仿宋" w:hAnsi="仿宋" w:eastAsia="仿宋" w:cs="黑体"/>
          <w:b/>
          <w:sz w:val="28"/>
          <w:szCs w:val="28"/>
        </w:rPr>
        <w:t>注：于每月初，中标供应商将此表上月的有关情况（含佐证材料）报区农业农村局。</w:t>
      </w:r>
    </w:p>
    <w:p>
      <w:pPr>
        <w:adjustRightInd w:val="0"/>
        <w:snapToGrid w:val="0"/>
        <w:spacing w:line="590" w:lineRule="exact"/>
        <w:rPr>
          <w:rFonts w:hint="eastAsia" w:ascii="黑体" w:hAnsi="黑体" w:eastAsia="黑体" w:cs="黑体"/>
          <w:sz w:val="32"/>
          <w:szCs w:val="32"/>
        </w:rPr>
      </w:pPr>
    </w:p>
    <w:p>
      <w:pPr>
        <w:adjustRightInd w:val="0"/>
        <w:snapToGrid w:val="0"/>
        <w:spacing w:line="590" w:lineRule="exact"/>
        <w:rPr>
          <w:rFonts w:hint="eastAsia" w:ascii="仿宋" w:hAnsi="仿宋" w:eastAsia="仿宋" w:cs="仿宋"/>
          <w:sz w:val="32"/>
          <w:szCs w:val="32"/>
        </w:rPr>
      </w:pPr>
      <w:r>
        <w:rPr>
          <w:rFonts w:hint="eastAsia" w:ascii="仿宋" w:hAnsi="仿宋" w:eastAsia="仿宋" w:cs="仿宋"/>
          <w:sz w:val="32"/>
          <w:szCs w:val="32"/>
        </w:rPr>
        <w:t>附件4</w:t>
      </w:r>
    </w:p>
    <w:p>
      <w:pPr>
        <w:adjustRightInd w:val="0"/>
        <w:snapToGrid w:val="0"/>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2021年新会区双季稻轮作试点协议</w:t>
      </w:r>
    </w:p>
    <w:p>
      <w:pPr>
        <w:adjustRightInd w:val="0"/>
        <w:snapToGrid w:val="0"/>
        <w:spacing w:line="590" w:lineRule="exact"/>
        <w:jc w:val="center"/>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（参考样本）</w:t>
      </w:r>
    </w:p>
    <w:p>
      <w:pPr>
        <w:adjustRightInd w:val="0"/>
        <w:snapToGrid w:val="0"/>
        <w:spacing w:line="590" w:lineRule="exact"/>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甲方：</w:t>
      </w:r>
      <w:r>
        <w:rPr>
          <w:rFonts w:hint="eastAsia" w:ascii="仿宋" w:hAnsi="仿宋" w:eastAsia="仿宋" w:cs="仿宋"/>
          <w:sz w:val="32"/>
          <w:szCs w:val="32"/>
          <w:u w:val="single"/>
        </w:rPr>
        <w:t xml:space="preserve">       </w:t>
      </w:r>
      <w:r>
        <w:rPr>
          <w:rFonts w:hint="eastAsia" w:ascii="仿宋" w:hAnsi="仿宋" w:eastAsia="仿宋" w:cs="仿宋"/>
          <w:sz w:val="32"/>
          <w:szCs w:val="32"/>
        </w:rPr>
        <w:t>镇（街）农业农村办公室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u w:val="single"/>
        </w:rPr>
      </w:pPr>
      <w:r>
        <w:rPr>
          <w:rFonts w:hint="eastAsia" w:ascii="仿宋" w:hAnsi="仿宋" w:eastAsia="仿宋" w:cs="仿宋"/>
          <w:sz w:val="32"/>
          <w:szCs w:val="32"/>
        </w:rPr>
        <w:t>乙方：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村民委员会（含参与农户）   </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为切实实施好双稻稻轮作试点工作，按《新会区2021年双季稻轮作试点方案》等要求，结合实际，经甲乙双方商议，协议如下：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 w:hAnsi="仿宋" w:eastAsia="仿宋" w:cs="仿宋"/>
          <w:b/>
          <w:sz w:val="32"/>
          <w:szCs w:val="32"/>
        </w:rPr>
      </w:pPr>
      <w:r>
        <w:rPr>
          <w:rFonts w:hint="eastAsia" w:ascii="仿宋" w:hAnsi="仿宋" w:eastAsia="仿宋" w:cs="仿宋"/>
          <w:sz w:val="32"/>
          <w:szCs w:val="32"/>
        </w:rPr>
        <w:t>一、轮作面积与地块。乙方自愿参加双季稻轮作，将位于</w:t>
      </w:r>
      <w:r>
        <w:rPr>
          <w:rFonts w:hint="eastAsia" w:ascii="仿宋" w:hAnsi="仿宋" w:eastAsia="仿宋" w:cs="仿宋"/>
          <w:sz w:val="32"/>
          <w:szCs w:val="32"/>
          <w:u w:val="single"/>
        </w:rPr>
        <w:t xml:space="preserve">         </w:t>
      </w:r>
      <w:r>
        <w:rPr>
          <w:rFonts w:hint="eastAsia" w:ascii="仿宋" w:hAnsi="仿宋" w:eastAsia="仿宋" w:cs="仿宋"/>
          <w:sz w:val="32"/>
          <w:szCs w:val="32"/>
        </w:rPr>
        <w:t>等（土名）共</w:t>
      </w:r>
      <w:r>
        <w:rPr>
          <w:rFonts w:hint="eastAsia" w:ascii="仿宋" w:hAnsi="仿宋" w:eastAsia="仿宋" w:cs="仿宋"/>
          <w:sz w:val="32"/>
          <w:szCs w:val="32"/>
          <w:u w:val="single"/>
        </w:rPr>
        <w:t xml:space="preserve">     </w:t>
      </w:r>
      <w:r>
        <w:rPr>
          <w:rFonts w:hint="eastAsia" w:ascii="仿宋" w:hAnsi="仿宋" w:eastAsia="仿宋" w:cs="仿宋"/>
          <w:sz w:val="32"/>
          <w:szCs w:val="32"/>
        </w:rPr>
        <w:t>亩粮食（水稻）生产功能区的地块进行双季稻+冬种油菜轮作试点，参与农户</w:t>
      </w:r>
      <w:r>
        <w:rPr>
          <w:rFonts w:hint="eastAsia" w:ascii="仿宋" w:hAnsi="仿宋" w:eastAsia="仿宋" w:cs="仿宋"/>
          <w:sz w:val="32"/>
          <w:szCs w:val="32"/>
          <w:u w:val="single"/>
        </w:rPr>
        <w:t xml:space="preserve">    </w:t>
      </w:r>
      <w:r>
        <w:rPr>
          <w:rFonts w:hint="eastAsia" w:ascii="仿宋" w:hAnsi="仿宋" w:eastAsia="仿宋" w:cs="仿宋"/>
          <w:sz w:val="32"/>
          <w:szCs w:val="32"/>
        </w:rPr>
        <w:t>户（详见2021年新会区双季稻轮作试点登记清册）。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二、轮作时间与期限。2021年早稻开始，至冬种收获轮作周期结束，为期 1年度。（2021年2月至2022年2月）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三、轮作技术要求。乙方愿意按甲方和中标供应商技术要求组织实施，接受服从甲方和中标供应商的监管、技术指导，接受甲方与上级部门的验收检查。轮作试点地块同意种植双季稻加一季冬种油菜。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四、实施方式。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rPr>
        <w:t>（一）乙方同意</w:t>
      </w:r>
      <w:r>
        <w:rPr>
          <w:rFonts w:hint="eastAsia" w:ascii="仿宋" w:hAnsi="仿宋" w:eastAsia="仿宋" w:cs="仿宋"/>
          <w:kern w:val="0"/>
          <w:sz w:val="32"/>
          <w:szCs w:val="32"/>
        </w:rPr>
        <w:t>自主种植早、晚稻。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（二）在冬种油菜过程中，乙方同意由区农业农村局确定的中标供应商，按有关社会化服务事项指标，对乙方试点区域地块开展冬种油菜播种和施肥等社会化服务。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（三）乙方同意按轮作技术要求，积极做好开沟、管水、增施肥料、病虫害防控和采收等工作。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五、技术指导。甲方和中标供应商负责对乙方提供轮作技术指导服务。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六、本协议自甲乙双方签字或盖章之日起生效。轮作期间因国家政策发生重大变化或调整导致不能执行本协议的，本协议自然终止或解除。</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七、本协议一式六份，甲方、乙方各执</w:t>
      </w:r>
      <w:r>
        <w:rPr>
          <w:rFonts w:hint="eastAsia" w:ascii="仿宋" w:hAnsi="仿宋" w:eastAsia="仿宋" w:cs="仿宋"/>
          <w:sz w:val="32"/>
          <w:szCs w:val="32"/>
          <w:u w:val="single"/>
        </w:rPr>
        <w:t>1</w:t>
      </w:r>
      <w:r>
        <w:rPr>
          <w:rFonts w:hint="eastAsia" w:ascii="仿宋" w:hAnsi="仿宋" w:eastAsia="仿宋" w:cs="仿宋"/>
          <w:sz w:val="32"/>
          <w:szCs w:val="32"/>
        </w:rPr>
        <w:t>份，协议文本在本村、镇（街）、中标供应商和区农业农村局存档备查。</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八、未尽事宜，甲乙双方协商解决。</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甲方：（盖章）                 乙方：（盖章）</w:t>
      </w:r>
    </w:p>
    <w:p>
      <w:pPr>
        <w:keepNext w:val="0"/>
        <w:keepLines w:val="0"/>
        <w:pageBreakBefore w:val="0"/>
        <w:widowControl w:val="0"/>
        <w:kinsoku/>
        <w:wordWrap/>
        <w:overflowPunct/>
        <w:topLinePunct w:val="0"/>
        <w:autoSpaceDE/>
        <w:autoSpaceDN/>
        <w:bidi w:val="0"/>
        <w:adjustRightInd w:val="0"/>
        <w:snapToGrid w:val="0"/>
        <w:spacing w:line="560" w:lineRule="exact"/>
        <w:ind w:left="0" w:hanging="5120" w:hangingChars="1600"/>
        <w:textAlignment w:val="auto"/>
        <w:rPr>
          <w:rFonts w:hint="eastAsia" w:ascii="仿宋" w:hAnsi="仿宋" w:eastAsia="仿宋" w:cs="仿宋"/>
          <w:sz w:val="32"/>
          <w:szCs w:val="32"/>
        </w:rPr>
      </w:pPr>
      <w:r>
        <w:rPr>
          <w:rFonts w:hint="eastAsia" w:ascii="仿宋" w:hAnsi="仿宋" w:eastAsia="仿宋" w:cs="仿宋"/>
          <w:sz w:val="32"/>
          <w:szCs w:val="32"/>
        </w:rPr>
        <w:t>甲方主任签名：                乙方村主任签名：</w:t>
      </w: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eastAsia" w:ascii="仿宋" w:hAnsi="仿宋" w:eastAsia="仿宋" w:cs="仿宋"/>
          <w:sz w:val="32"/>
          <w:szCs w:val="32"/>
        </w:rPr>
      </w:pPr>
      <w:r>
        <w:rPr>
          <w:rFonts w:hint="eastAsia" w:ascii="仿宋" w:hAnsi="仿宋" w:eastAsia="仿宋" w:cs="仿宋"/>
          <w:sz w:val="32"/>
          <w:szCs w:val="32"/>
        </w:rPr>
        <w:t>日期：                        日期：</w:t>
      </w:r>
    </w:p>
    <w:p>
      <w:pPr>
        <w:keepNext w:val="0"/>
        <w:keepLines w:val="0"/>
        <w:pageBreakBefore w:val="0"/>
        <w:widowControl w:val="0"/>
        <w:kinsoku/>
        <w:wordWrap/>
        <w:overflowPunct/>
        <w:topLinePunct w:val="0"/>
        <w:autoSpaceDE/>
        <w:autoSpaceDN/>
        <w:bidi w:val="0"/>
        <w:spacing w:line="560" w:lineRule="exact"/>
        <w:ind w:left="0"/>
        <w:textAlignment w:val="auto"/>
        <w:rPr>
          <w:rFonts w:ascii="微软雅黑" w:hAnsi="微软雅黑" w:eastAsia="微软雅黑" w:cs="宋体"/>
          <w:kern w:val="0"/>
          <w:sz w:val="23"/>
          <w:szCs w:val="23"/>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spacing w:line="600" w:lineRule="exac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公开方式：</w:t>
      </w:r>
      <w:r>
        <w:rPr>
          <w:rFonts w:hint="eastAsia" w:ascii="仿宋" w:hAnsi="仿宋" w:eastAsia="仿宋" w:cs="仿宋"/>
          <w:sz w:val="32"/>
          <w:szCs w:val="32"/>
          <w:lang w:val="en-US" w:eastAsia="zh-CN"/>
        </w:rPr>
        <w:t>主动公开</w:t>
      </w:r>
    </w:p>
    <w:p>
      <w:pPr>
        <w:pBdr>
          <w:bottom w:val="single" w:color="auto" w:sz="4" w:space="0"/>
        </w:pBdr>
        <w:spacing w:line="60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cs="仿宋"/>
          <w:sz w:val="32"/>
          <w:szCs w:val="32"/>
          <w:lang w:val="en-US" w:eastAsia="zh-CN"/>
        </w:rPr>
        <w:t>江门市农业农村局，</w:t>
      </w:r>
      <w:r>
        <w:rPr>
          <w:rFonts w:hint="eastAsia" w:ascii="仿宋" w:hAnsi="仿宋" w:eastAsia="仿宋" w:cs="仿宋"/>
          <w:sz w:val="32"/>
          <w:szCs w:val="32"/>
          <w:lang w:val="en-US" w:eastAsia="zh-CN"/>
        </w:rPr>
        <w:t>区财政局。</w:t>
      </w:r>
    </w:p>
    <w:p>
      <w:pPr>
        <w:pBdr>
          <w:top w:val="single" w:color="auto" w:sz="6" w:space="1"/>
          <w:bottom w:val="single" w:color="auto" w:sz="6" w:space="1"/>
        </w:pBdr>
        <w:spacing w:line="560" w:lineRule="exact"/>
        <w:ind w:firstLine="160" w:firstLineChars="50"/>
        <w:rPr>
          <w:rFonts w:ascii="仿宋" w:hAnsi="仿宋"/>
          <w:szCs w:val="32"/>
        </w:rPr>
      </w:pPr>
      <w:r>
        <w:rPr>
          <w:rFonts w:hint="eastAsia" w:ascii="仿宋" w:hAnsi="仿宋"/>
          <w:szCs w:val="32"/>
        </w:rPr>
        <w:t>江门市新会区农业农村局办公室      2021年</w:t>
      </w:r>
      <w:r>
        <w:rPr>
          <w:rFonts w:hint="eastAsia" w:ascii="仿宋" w:hAnsi="仿宋"/>
          <w:szCs w:val="32"/>
          <w:lang w:val="en-US" w:eastAsia="zh-CN"/>
        </w:rPr>
        <w:t>7</w:t>
      </w:r>
      <w:r>
        <w:rPr>
          <w:rFonts w:hint="eastAsia" w:ascii="仿宋" w:hAnsi="仿宋"/>
          <w:szCs w:val="32"/>
        </w:rPr>
        <w:t>月</w:t>
      </w:r>
      <w:r>
        <w:rPr>
          <w:rFonts w:hint="eastAsia" w:ascii="仿宋" w:hAnsi="仿宋"/>
          <w:szCs w:val="32"/>
          <w:lang w:val="en-US" w:eastAsia="zh-CN"/>
        </w:rPr>
        <w:t>5</w:t>
      </w:r>
      <w:r>
        <w:rPr>
          <w:rFonts w:hint="eastAsia" w:ascii="仿宋" w:hAnsi="仿宋"/>
          <w:szCs w:val="32"/>
        </w:rPr>
        <w:t>日印发</w:t>
      </w:r>
    </w:p>
    <w:sectPr>
      <w:footerReference r:id="rId6" w:type="default"/>
      <w:footerReference r:id="rId7" w:type="even"/>
      <w:pgSz w:w="11906" w:h="16838"/>
      <w:pgMar w:top="1701" w:right="1588" w:bottom="1418" w:left="1588" w:header="851" w:footer="459" w:gutter="0"/>
      <w:pgNumType w:fmt="decimal"/>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2" o:spid="_x0000_s2052" o:spt="202" type="#_x0000_t202" style="position:absolute;left:0pt;margin-top:0pt;height:11pt;width:24.95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B41"/>
    <w:rsid w:val="0000454C"/>
    <w:rsid w:val="00015641"/>
    <w:rsid w:val="000169A0"/>
    <w:rsid w:val="00016DA1"/>
    <w:rsid w:val="00024431"/>
    <w:rsid w:val="00027AF7"/>
    <w:rsid w:val="000325D7"/>
    <w:rsid w:val="0003261F"/>
    <w:rsid w:val="00037357"/>
    <w:rsid w:val="000566D8"/>
    <w:rsid w:val="00060890"/>
    <w:rsid w:val="00064A47"/>
    <w:rsid w:val="000811F5"/>
    <w:rsid w:val="00086DE7"/>
    <w:rsid w:val="00091F8F"/>
    <w:rsid w:val="0009344D"/>
    <w:rsid w:val="00094DF4"/>
    <w:rsid w:val="00095A31"/>
    <w:rsid w:val="00096A2F"/>
    <w:rsid w:val="000B4430"/>
    <w:rsid w:val="000C00ED"/>
    <w:rsid w:val="000C4D3D"/>
    <w:rsid w:val="000D077D"/>
    <w:rsid w:val="000E5B6E"/>
    <w:rsid w:val="000E6FA5"/>
    <w:rsid w:val="000F16F8"/>
    <w:rsid w:val="000F1B41"/>
    <w:rsid w:val="000F23F7"/>
    <w:rsid w:val="000F2AB4"/>
    <w:rsid w:val="000F6A70"/>
    <w:rsid w:val="001021C2"/>
    <w:rsid w:val="00103867"/>
    <w:rsid w:val="00104C04"/>
    <w:rsid w:val="00106E10"/>
    <w:rsid w:val="00106FB6"/>
    <w:rsid w:val="00114A7F"/>
    <w:rsid w:val="001379FE"/>
    <w:rsid w:val="00142BA2"/>
    <w:rsid w:val="001508F3"/>
    <w:rsid w:val="001510F5"/>
    <w:rsid w:val="00156F68"/>
    <w:rsid w:val="00166A58"/>
    <w:rsid w:val="001772F3"/>
    <w:rsid w:val="001817F1"/>
    <w:rsid w:val="00181A2D"/>
    <w:rsid w:val="0018229D"/>
    <w:rsid w:val="0019493D"/>
    <w:rsid w:val="0019553B"/>
    <w:rsid w:val="001A36E5"/>
    <w:rsid w:val="001A4EEB"/>
    <w:rsid w:val="001B000D"/>
    <w:rsid w:val="001C08C6"/>
    <w:rsid w:val="001C0AF5"/>
    <w:rsid w:val="001D5AE2"/>
    <w:rsid w:val="001E289F"/>
    <w:rsid w:val="001E313A"/>
    <w:rsid w:val="0020568D"/>
    <w:rsid w:val="00213774"/>
    <w:rsid w:val="0022257C"/>
    <w:rsid w:val="002232AF"/>
    <w:rsid w:val="002342C4"/>
    <w:rsid w:val="00241B93"/>
    <w:rsid w:val="002446C0"/>
    <w:rsid w:val="002532EB"/>
    <w:rsid w:val="00254A05"/>
    <w:rsid w:val="00261F9B"/>
    <w:rsid w:val="00263473"/>
    <w:rsid w:val="002637FA"/>
    <w:rsid w:val="00271CDC"/>
    <w:rsid w:val="0028003D"/>
    <w:rsid w:val="00280CE5"/>
    <w:rsid w:val="00285640"/>
    <w:rsid w:val="002977F7"/>
    <w:rsid w:val="002A028B"/>
    <w:rsid w:val="002A342F"/>
    <w:rsid w:val="002B1569"/>
    <w:rsid w:val="002C0EB8"/>
    <w:rsid w:val="002C1D85"/>
    <w:rsid w:val="002C3437"/>
    <w:rsid w:val="002C4A49"/>
    <w:rsid w:val="002D2D7D"/>
    <w:rsid w:val="002D58BA"/>
    <w:rsid w:val="00307089"/>
    <w:rsid w:val="003173A6"/>
    <w:rsid w:val="00325F62"/>
    <w:rsid w:val="00327F27"/>
    <w:rsid w:val="003433FB"/>
    <w:rsid w:val="00345B67"/>
    <w:rsid w:val="003541DF"/>
    <w:rsid w:val="0036046B"/>
    <w:rsid w:val="003678D6"/>
    <w:rsid w:val="00372570"/>
    <w:rsid w:val="003976EE"/>
    <w:rsid w:val="003A1533"/>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40AAF"/>
    <w:rsid w:val="00453C76"/>
    <w:rsid w:val="00454403"/>
    <w:rsid w:val="004549E2"/>
    <w:rsid w:val="004550C0"/>
    <w:rsid w:val="0045569D"/>
    <w:rsid w:val="00460B25"/>
    <w:rsid w:val="004650E3"/>
    <w:rsid w:val="00474782"/>
    <w:rsid w:val="004768BB"/>
    <w:rsid w:val="00476A55"/>
    <w:rsid w:val="00481B9B"/>
    <w:rsid w:val="00482FFE"/>
    <w:rsid w:val="00490593"/>
    <w:rsid w:val="004973CA"/>
    <w:rsid w:val="004A0018"/>
    <w:rsid w:val="004A5F92"/>
    <w:rsid w:val="004A7D08"/>
    <w:rsid w:val="004B59F0"/>
    <w:rsid w:val="004C2140"/>
    <w:rsid w:val="004C2436"/>
    <w:rsid w:val="004C6969"/>
    <w:rsid w:val="004D0BAD"/>
    <w:rsid w:val="004D2FA0"/>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75A72"/>
    <w:rsid w:val="005838B1"/>
    <w:rsid w:val="005A43B3"/>
    <w:rsid w:val="005A54E4"/>
    <w:rsid w:val="005B0EF3"/>
    <w:rsid w:val="005B2C3C"/>
    <w:rsid w:val="005B6BB2"/>
    <w:rsid w:val="005D0BED"/>
    <w:rsid w:val="005E3107"/>
    <w:rsid w:val="005E58D4"/>
    <w:rsid w:val="005F53B2"/>
    <w:rsid w:val="00607F5B"/>
    <w:rsid w:val="0062633B"/>
    <w:rsid w:val="006437F9"/>
    <w:rsid w:val="00663D26"/>
    <w:rsid w:val="00664B44"/>
    <w:rsid w:val="0067018E"/>
    <w:rsid w:val="00673D6A"/>
    <w:rsid w:val="006849D0"/>
    <w:rsid w:val="00686861"/>
    <w:rsid w:val="00691CFD"/>
    <w:rsid w:val="006956FD"/>
    <w:rsid w:val="006979FF"/>
    <w:rsid w:val="006A17C5"/>
    <w:rsid w:val="006A1FE8"/>
    <w:rsid w:val="006A2419"/>
    <w:rsid w:val="006A26B3"/>
    <w:rsid w:val="006A4902"/>
    <w:rsid w:val="006B38F7"/>
    <w:rsid w:val="006B4D4C"/>
    <w:rsid w:val="006B51AB"/>
    <w:rsid w:val="006B6CFB"/>
    <w:rsid w:val="006C3029"/>
    <w:rsid w:val="006C5640"/>
    <w:rsid w:val="006D59B2"/>
    <w:rsid w:val="006D5B1F"/>
    <w:rsid w:val="006D5C61"/>
    <w:rsid w:val="006D65A3"/>
    <w:rsid w:val="006E1E22"/>
    <w:rsid w:val="006E325F"/>
    <w:rsid w:val="00720828"/>
    <w:rsid w:val="00723CA3"/>
    <w:rsid w:val="00726C62"/>
    <w:rsid w:val="00726E9A"/>
    <w:rsid w:val="00735C39"/>
    <w:rsid w:val="007379B4"/>
    <w:rsid w:val="007479C1"/>
    <w:rsid w:val="007543E6"/>
    <w:rsid w:val="00760ADF"/>
    <w:rsid w:val="007635BF"/>
    <w:rsid w:val="00773045"/>
    <w:rsid w:val="0077777E"/>
    <w:rsid w:val="00780BB9"/>
    <w:rsid w:val="00786B1D"/>
    <w:rsid w:val="00786D56"/>
    <w:rsid w:val="00791781"/>
    <w:rsid w:val="007929A2"/>
    <w:rsid w:val="007A0FEC"/>
    <w:rsid w:val="007A2FC6"/>
    <w:rsid w:val="007A5CFF"/>
    <w:rsid w:val="007A74B4"/>
    <w:rsid w:val="007B3B80"/>
    <w:rsid w:val="007C474D"/>
    <w:rsid w:val="007C6C43"/>
    <w:rsid w:val="007D3928"/>
    <w:rsid w:val="007D3B2B"/>
    <w:rsid w:val="007E0D86"/>
    <w:rsid w:val="007E1492"/>
    <w:rsid w:val="00801F4F"/>
    <w:rsid w:val="00813DB6"/>
    <w:rsid w:val="00813FE9"/>
    <w:rsid w:val="00825535"/>
    <w:rsid w:val="00825A9D"/>
    <w:rsid w:val="00832230"/>
    <w:rsid w:val="00861345"/>
    <w:rsid w:val="00865168"/>
    <w:rsid w:val="008676E9"/>
    <w:rsid w:val="00871838"/>
    <w:rsid w:val="008758B0"/>
    <w:rsid w:val="00875BF3"/>
    <w:rsid w:val="00890F54"/>
    <w:rsid w:val="0089391E"/>
    <w:rsid w:val="008A1EDD"/>
    <w:rsid w:val="008A7496"/>
    <w:rsid w:val="008B0008"/>
    <w:rsid w:val="008B70CA"/>
    <w:rsid w:val="008C0B15"/>
    <w:rsid w:val="008C3874"/>
    <w:rsid w:val="008C3F63"/>
    <w:rsid w:val="008E4976"/>
    <w:rsid w:val="008E5A99"/>
    <w:rsid w:val="008F04BF"/>
    <w:rsid w:val="008F0552"/>
    <w:rsid w:val="008F3D20"/>
    <w:rsid w:val="008F4328"/>
    <w:rsid w:val="008F5124"/>
    <w:rsid w:val="00913C1A"/>
    <w:rsid w:val="00916251"/>
    <w:rsid w:val="009244D2"/>
    <w:rsid w:val="009267EF"/>
    <w:rsid w:val="009312A6"/>
    <w:rsid w:val="00931B46"/>
    <w:rsid w:val="00946965"/>
    <w:rsid w:val="0094799A"/>
    <w:rsid w:val="00950F35"/>
    <w:rsid w:val="0095575B"/>
    <w:rsid w:val="00963536"/>
    <w:rsid w:val="00976E2C"/>
    <w:rsid w:val="009834FD"/>
    <w:rsid w:val="00984CEB"/>
    <w:rsid w:val="00986A08"/>
    <w:rsid w:val="00996174"/>
    <w:rsid w:val="009A404F"/>
    <w:rsid w:val="009D307E"/>
    <w:rsid w:val="009D58C8"/>
    <w:rsid w:val="009D666D"/>
    <w:rsid w:val="009E07ED"/>
    <w:rsid w:val="009E2824"/>
    <w:rsid w:val="009E49B2"/>
    <w:rsid w:val="009F4C31"/>
    <w:rsid w:val="00A00C88"/>
    <w:rsid w:val="00A05B06"/>
    <w:rsid w:val="00A142A7"/>
    <w:rsid w:val="00A23788"/>
    <w:rsid w:val="00A24D52"/>
    <w:rsid w:val="00A3468F"/>
    <w:rsid w:val="00A356D5"/>
    <w:rsid w:val="00A428AF"/>
    <w:rsid w:val="00A44037"/>
    <w:rsid w:val="00A53183"/>
    <w:rsid w:val="00A653BB"/>
    <w:rsid w:val="00A734A9"/>
    <w:rsid w:val="00A80426"/>
    <w:rsid w:val="00A842BD"/>
    <w:rsid w:val="00A93C65"/>
    <w:rsid w:val="00A968ED"/>
    <w:rsid w:val="00AB3D14"/>
    <w:rsid w:val="00AB6A94"/>
    <w:rsid w:val="00AC0E4F"/>
    <w:rsid w:val="00AD5469"/>
    <w:rsid w:val="00AE441A"/>
    <w:rsid w:val="00AF4FF6"/>
    <w:rsid w:val="00AF6CBC"/>
    <w:rsid w:val="00B05283"/>
    <w:rsid w:val="00B33DBF"/>
    <w:rsid w:val="00B51276"/>
    <w:rsid w:val="00B76DC8"/>
    <w:rsid w:val="00B81943"/>
    <w:rsid w:val="00B8251A"/>
    <w:rsid w:val="00B861FD"/>
    <w:rsid w:val="00B900A3"/>
    <w:rsid w:val="00BA055B"/>
    <w:rsid w:val="00BA4E34"/>
    <w:rsid w:val="00BA57D5"/>
    <w:rsid w:val="00BB1BB1"/>
    <w:rsid w:val="00BB1CE6"/>
    <w:rsid w:val="00BD50DE"/>
    <w:rsid w:val="00BD70FB"/>
    <w:rsid w:val="00BE09BB"/>
    <w:rsid w:val="00BF002A"/>
    <w:rsid w:val="00BF3A59"/>
    <w:rsid w:val="00C02C18"/>
    <w:rsid w:val="00C12F1A"/>
    <w:rsid w:val="00C3305C"/>
    <w:rsid w:val="00C439CB"/>
    <w:rsid w:val="00C709C3"/>
    <w:rsid w:val="00C7192A"/>
    <w:rsid w:val="00C72CC9"/>
    <w:rsid w:val="00C77CE5"/>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97928"/>
    <w:rsid w:val="00DB067D"/>
    <w:rsid w:val="00DB26A4"/>
    <w:rsid w:val="00DC0C75"/>
    <w:rsid w:val="00DC5E34"/>
    <w:rsid w:val="00DD68ED"/>
    <w:rsid w:val="00DE2B5E"/>
    <w:rsid w:val="00DE3E36"/>
    <w:rsid w:val="00E03B56"/>
    <w:rsid w:val="00E0725E"/>
    <w:rsid w:val="00E107CD"/>
    <w:rsid w:val="00E12EC7"/>
    <w:rsid w:val="00E14F4C"/>
    <w:rsid w:val="00E1587A"/>
    <w:rsid w:val="00E24B91"/>
    <w:rsid w:val="00E307C9"/>
    <w:rsid w:val="00E413D1"/>
    <w:rsid w:val="00E4313B"/>
    <w:rsid w:val="00E43A60"/>
    <w:rsid w:val="00E44641"/>
    <w:rsid w:val="00E47A26"/>
    <w:rsid w:val="00E51C9A"/>
    <w:rsid w:val="00E51D06"/>
    <w:rsid w:val="00E529DC"/>
    <w:rsid w:val="00E56481"/>
    <w:rsid w:val="00E569A4"/>
    <w:rsid w:val="00E82812"/>
    <w:rsid w:val="00E90B4F"/>
    <w:rsid w:val="00E97544"/>
    <w:rsid w:val="00EA1A47"/>
    <w:rsid w:val="00EB0534"/>
    <w:rsid w:val="00EB20B2"/>
    <w:rsid w:val="00EB43B8"/>
    <w:rsid w:val="00EC5A37"/>
    <w:rsid w:val="00EC5B91"/>
    <w:rsid w:val="00ED6740"/>
    <w:rsid w:val="00EE460A"/>
    <w:rsid w:val="00F04673"/>
    <w:rsid w:val="00F04720"/>
    <w:rsid w:val="00F05EF3"/>
    <w:rsid w:val="00F07CF8"/>
    <w:rsid w:val="00F344BB"/>
    <w:rsid w:val="00F3749A"/>
    <w:rsid w:val="00F41890"/>
    <w:rsid w:val="00F4346F"/>
    <w:rsid w:val="00F5761C"/>
    <w:rsid w:val="00F659BA"/>
    <w:rsid w:val="00F66F37"/>
    <w:rsid w:val="00F80B10"/>
    <w:rsid w:val="00F81B5D"/>
    <w:rsid w:val="00F93DDE"/>
    <w:rsid w:val="00FA53CF"/>
    <w:rsid w:val="00FA6797"/>
    <w:rsid w:val="00FB0B32"/>
    <w:rsid w:val="00FB3D62"/>
    <w:rsid w:val="00FC40C7"/>
    <w:rsid w:val="00FC7F47"/>
    <w:rsid w:val="00FE4F12"/>
    <w:rsid w:val="00FE6B72"/>
    <w:rsid w:val="00FE7790"/>
    <w:rsid w:val="00FF0236"/>
    <w:rsid w:val="00FF2607"/>
    <w:rsid w:val="00FF594D"/>
    <w:rsid w:val="02BD43D3"/>
    <w:rsid w:val="04C21077"/>
    <w:rsid w:val="04ED25CA"/>
    <w:rsid w:val="12A25B4F"/>
    <w:rsid w:val="1B7C38DD"/>
    <w:rsid w:val="278F6D95"/>
    <w:rsid w:val="30171BAE"/>
    <w:rsid w:val="3103544C"/>
    <w:rsid w:val="49583AFD"/>
    <w:rsid w:val="4AA84CFC"/>
    <w:rsid w:val="4EBE2A19"/>
    <w:rsid w:val="6584768F"/>
    <w:rsid w:val="66F56B62"/>
    <w:rsid w:val="676811E5"/>
    <w:rsid w:val="7624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eastAsia="宋体"/>
      <w:sz w:val="21"/>
      <w:szCs w:val="24"/>
    </w:rPr>
  </w:style>
  <w:style w:type="paragraph" w:styleId="4">
    <w:name w:val="Body Text"/>
    <w:basedOn w:val="1"/>
    <w:link w:val="17"/>
    <w:qFormat/>
    <w:uiPriority w:val="0"/>
    <w:pPr>
      <w:spacing w:line="0" w:lineRule="atLeast"/>
    </w:pPr>
    <w:rPr>
      <w:rFonts w:eastAsia="小标宋"/>
      <w:sz w:val="44"/>
      <w:szCs w:val="32"/>
    </w:rPr>
  </w:style>
  <w:style w:type="paragraph" w:styleId="5">
    <w:name w:val="Body Text Indent"/>
    <w:basedOn w:val="1"/>
    <w:link w:val="20"/>
    <w:semiHidden/>
    <w:unhideWhenUsed/>
    <w:qFormat/>
    <w:uiPriority w:val="99"/>
    <w:pPr>
      <w:spacing w:after="120"/>
      <w:ind w:left="420" w:leftChars="200"/>
    </w:pPr>
  </w:style>
  <w:style w:type="paragraph" w:styleId="6">
    <w:name w:val="Date"/>
    <w:basedOn w:val="1"/>
    <w:next w:val="1"/>
    <w:link w:val="18"/>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link w:val="8"/>
    <w:semiHidden/>
    <w:qFormat/>
    <w:uiPriority w:val="99"/>
    <w:rPr>
      <w:rFonts w:ascii="宋体" w:hAnsi="宋体" w:eastAsia="方正仿宋简体"/>
      <w:sz w:val="18"/>
      <w:szCs w:val="18"/>
    </w:rPr>
  </w:style>
  <w:style w:type="character" w:customStyle="1" w:styleId="16">
    <w:name w:val="页脚 Char"/>
    <w:link w:val="7"/>
    <w:qFormat/>
    <w:uiPriority w:val="99"/>
    <w:rPr>
      <w:rFonts w:ascii="宋体" w:hAnsi="宋体" w:eastAsia="方正仿宋简体"/>
      <w:sz w:val="18"/>
      <w:szCs w:val="18"/>
    </w:rPr>
  </w:style>
  <w:style w:type="character" w:customStyle="1" w:styleId="17">
    <w:name w:val="正文文本 Char"/>
    <w:link w:val="4"/>
    <w:qFormat/>
    <w:uiPriority w:val="0"/>
    <w:rPr>
      <w:rFonts w:ascii="宋体" w:hAnsi="宋体" w:eastAsia="小标宋" w:cs="Times New Roman"/>
      <w:sz w:val="44"/>
      <w:szCs w:val="32"/>
    </w:rPr>
  </w:style>
  <w:style w:type="character" w:customStyle="1" w:styleId="18">
    <w:name w:val="日期 Char"/>
    <w:basedOn w:val="12"/>
    <w:link w:val="6"/>
    <w:semiHidden/>
    <w:qFormat/>
    <w:uiPriority w:val="99"/>
    <w:rPr>
      <w:rFonts w:ascii="宋体" w:hAnsi="宋体" w:eastAsia="仿宋"/>
      <w:kern w:val="2"/>
      <w:sz w:val="32"/>
      <w:szCs w:val="22"/>
    </w:rPr>
  </w:style>
  <w:style w:type="character" w:customStyle="1" w:styleId="19">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0">
    <w:name w:val="正文文本缩进 Char"/>
    <w:basedOn w:val="12"/>
    <w:link w:val="5"/>
    <w:semiHidden/>
    <w:qFormat/>
    <w:uiPriority w:val="99"/>
    <w:rPr>
      <w:rFonts w:ascii="宋体" w:hAnsi="宋体" w:eastAsia="仿宋"/>
      <w:kern w:val="2"/>
      <w:sz w:val="32"/>
      <w:szCs w:val="22"/>
    </w:rPr>
  </w:style>
  <w:style w:type="character" w:customStyle="1" w:styleId="21">
    <w:name w:val="批注文字 Char"/>
    <w:basedOn w:val="12"/>
    <w:link w:val="3"/>
    <w:uiPriority w:val="0"/>
    <w:rPr>
      <w:kern w:val="2"/>
      <w:sz w:val="21"/>
      <w:szCs w:val="24"/>
    </w:rPr>
  </w:style>
  <w:style w:type="character" w:customStyle="1" w:styleId="22">
    <w:name w:val="批注文字 Char1"/>
    <w:basedOn w:val="12"/>
    <w:link w:val="3"/>
    <w:semiHidden/>
    <w:qFormat/>
    <w:uiPriority w:val="99"/>
    <w:rPr>
      <w:rFonts w:ascii="宋体" w:hAnsi="宋体" w:eastAsia="仿宋"/>
      <w:kern w:val="2"/>
      <w:sz w:val="32"/>
      <w:szCs w:val="22"/>
    </w:rPr>
  </w:style>
  <w:style w:type="character" w:customStyle="1" w:styleId="23">
    <w:name w:val="font21"/>
    <w:qFormat/>
    <w:uiPriority w:val="0"/>
    <w:rPr>
      <w:rFonts w:hint="eastAsia" w:ascii="宋体" w:hAnsi="宋体" w:eastAsia="宋体" w:cs="宋体"/>
      <w:color w:val="000000"/>
      <w:sz w:val="24"/>
      <w:szCs w:val="24"/>
      <w:u w:val="none"/>
    </w:rPr>
  </w:style>
  <w:style w:type="paragraph" w:customStyle="1" w:styleId="24">
    <w:name w:val="样式1"/>
    <w:basedOn w:val="8"/>
    <w:link w:val="26"/>
    <w:qFormat/>
    <w:uiPriority w:val="0"/>
    <w:pPr>
      <w:pBdr>
        <w:bottom w:val="none" w:color="auto" w:sz="0" w:space="0"/>
      </w:pBdr>
    </w:pPr>
  </w:style>
  <w:style w:type="paragraph" w:customStyle="1" w:styleId="25">
    <w:name w:val="样式2"/>
    <w:basedOn w:val="8"/>
    <w:link w:val="27"/>
    <w:qFormat/>
    <w:uiPriority w:val="0"/>
    <w:pPr>
      <w:pBdr>
        <w:bottom w:val="none" w:color="auto" w:sz="0" w:space="0"/>
      </w:pBdr>
    </w:pPr>
  </w:style>
  <w:style w:type="character" w:customStyle="1" w:styleId="26">
    <w:name w:val="样式1 Char"/>
    <w:basedOn w:val="15"/>
    <w:link w:val="24"/>
    <w:qFormat/>
    <w:uiPriority w:val="0"/>
    <w:rPr>
      <w:rFonts w:eastAsia="仿宋"/>
      <w:kern w:val="2"/>
    </w:rPr>
  </w:style>
  <w:style w:type="character" w:customStyle="1" w:styleId="27">
    <w:name w:val="样式2 Char"/>
    <w:basedOn w:val="15"/>
    <w:link w:val="25"/>
    <w:qFormat/>
    <w:uiPriority w:val="0"/>
    <w:rPr>
      <w:rFonts w:eastAsia="仿宋"/>
      <w:kern w:val="2"/>
    </w:rPr>
  </w:style>
  <w:style w:type="paragraph" w:customStyle="1" w:styleId="28">
    <w:name w:val="样式3"/>
    <w:basedOn w:val="8"/>
    <w:link w:val="29"/>
    <w:qFormat/>
    <w:uiPriority w:val="0"/>
    <w:pPr>
      <w:pBdr>
        <w:bottom w:val="none" w:color="auto" w:sz="0" w:space="0"/>
      </w:pBdr>
    </w:pPr>
  </w:style>
  <w:style w:type="character" w:customStyle="1" w:styleId="29">
    <w:name w:val="样式3 Char"/>
    <w:basedOn w:val="15"/>
    <w:link w:val="28"/>
    <w:uiPriority w:val="0"/>
    <w:rPr>
      <w:rFonts w:eastAsia="仿宋"/>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0" textRotate="1"/>
    <customShpInfo spid="_x0000_s2051" textRotate="1"/>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799</Words>
  <Characters>4559</Characters>
  <Lines>37</Lines>
  <Paragraphs>10</Paragraphs>
  <TotalTime>2</TotalTime>
  <ScaleCrop>false</ScaleCrop>
  <LinksUpToDate>false</LinksUpToDate>
  <CharactersWithSpaces>5348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2021-01-21T08:24:00Z</dcterms:created>
  <dc:creator>区农林局收发员</dc:creator>
  <cp:lastModifiedBy>区农业农村局收发员</cp:lastModifiedBy>
  <cp:lastPrinted>2021-01-13T10:13:00Z</cp:lastPrinted>
  <dcterms:modified xsi:type="dcterms:W3CDTF">2021-07-06T02:22:44Z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3F879F28073A40EBBD050BA68CDCB27F</vt:lpwstr>
  </property>
</Properties>
</file>