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500" w:lineRule="exact"/>
        <w:ind w:left="2009" w:leftChars="200" w:hanging="1385" w:hangingChars="444"/>
        <w:rPr>
          <w:rFonts w:hint="eastAsia" w:ascii="仿宋_GB2312"/>
          <w:szCs w:val="32"/>
        </w:rPr>
      </w:pPr>
      <w:r>
        <w:rPr>
          <w:rFonts w:hint="eastAsia" w:ascii="仿宋_GB2312"/>
          <w:szCs w:val="32"/>
        </w:rPr>
        <w:t>当事人：</w:t>
      </w:r>
      <w:r>
        <w:rPr>
          <w:rFonts w:hint="eastAsia" w:ascii="仿宋_GB2312"/>
          <w:szCs w:val="32"/>
          <w:lang w:eastAsia="zh-CN"/>
        </w:rPr>
        <w:t>李柳洪</w:t>
      </w:r>
      <w:r>
        <w:rPr>
          <w:rFonts w:hint="eastAsia" w:ascii="仿宋_GB2312"/>
          <w:szCs w:val="32"/>
        </w:rPr>
        <w:t>（江门市</w:t>
      </w:r>
      <w:r>
        <w:rPr>
          <w:rFonts w:hint="eastAsia" w:ascii="仿宋_GB2312"/>
          <w:szCs w:val="32"/>
          <w:lang w:eastAsia="zh-CN"/>
        </w:rPr>
        <w:t>新洪利铝制品有限公司</w:t>
      </w:r>
      <w:r>
        <w:rPr>
          <w:rFonts w:hint="eastAsia" w:ascii="仿宋_GB2312"/>
          <w:szCs w:val="32"/>
        </w:rPr>
        <w:t>直接负责的主管人员）</w:t>
      </w:r>
    </w:p>
    <w:p>
      <w:pPr>
        <w:spacing w:line="500" w:lineRule="exact"/>
        <w:ind w:left="2161" w:leftChars="199" w:hanging="1541" w:hangingChars="494"/>
      </w:pPr>
      <w:r>
        <w:rPr>
          <w:rFonts w:hint="eastAsia"/>
        </w:rPr>
        <w:t>工作地址：</w:t>
      </w:r>
      <w:r>
        <w:rPr>
          <w:rFonts w:hint="eastAsia" w:ascii="仿宋_GB2312"/>
          <w:snapToGrid w:val="0"/>
          <w:kern w:val="13"/>
          <w:szCs w:val="32"/>
        </w:rPr>
        <w:t>江门市新会区</w:t>
      </w:r>
      <w:r>
        <w:rPr>
          <w:rFonts w:hint="eastAsia" w:ascii="仿宋_GB2312"/>
          <w:snapToGrid w:val="0"/>
          <w:kern w:val="13"/>
          <w:szCs w:val="32"/>
          <w:lang w:eastAsia="zh-CN"/>
        </w:rPr>
        <w:t>睦洲镇南安村民委员会牛角洪围（厂房）</w:t>
      </w:r>
    </w:p>
    <w:p>
      <w:pPr>
        <w:spacing w:line="500" w:lineRule="exact"/>
        <w:ind w:firstLine="624" w:firstLineChars="200"/>
        <w:rPr>
          <w:rFonts w:hint="default" w:eastAsia="仿宋_GB2312"/>
          <w:color w:val="000000"/>
          <w:lang w:val="en-US" w:eastAsia="zh-CN"/>
        </w:rPr>
      </w:pPr>
      <w:r>
        <w:rPr>
          <w:rFonts w:hint="eastAsia"/>
          <w:color w:val="000000"/>
        </w:rPr>
        <w:t>公民身份号码：</w:t>
      </w:r>
      <w:r>
        <w:rPr>
          <w:rFonts w:hint="eastAsia"/>
          <w:color w:val="000000"/>
          <w:lang w:val="en-US" w:eastAsia="zh-CN"/>
        </w:rPr>
        <w:t>441424********4211</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李柳洪</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7月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eastAsia="zh-CN"/>
        </w:rPr>
        <w:t>新洪利铝制品有限公司（以下简称：该单位）</w:t>
      </w:r>
      <w:r>
        <w:rPr>
          <w:rFonts w:hint="eastAsia" w:ascii="仿宋_GB2312"/>
          <w:szCs w:val="32"/>
        </w:rPr>
        <w:t>进行的现场检查和</w:t>
      </w:r>
      <w:r>
        <w:rPr>
          <w:rFonts w:hint="eastAsia"/>
          <w:szCs w:val="32"/>
        </w:rPr>
        <w:t>调查发现：</w:t>
      </w:r>
    </w:p>
    <w:p>
      <w:pPr>
        <w:spacing w:line="500" w:lineRule="exact"/>
        <w:ind w:firstLine="624" w:firstLineChars="200"/>
        <w:rPr>
          <w:rFonts w:hint="eastAsia" w:ascii="仿宋_GB2312"/>
          <w:color w:val="000000"/>
          <w:szCs w:val="32"/>
        </w:rPr>
      </w:pPr>
      <w:r>
        <w:rPr>
          <w:rFonts w:hint="eastAsia" w:ascii="仿宋_GB2312"/>
          <w:szCs w:val="32"/>
        </w:rPr>
        <w:t>该单位</w:t>
      </w:r>
      <w:r>
        <w:rPr>
          <w:rFonts w:hint="eastAsia" w:ascii="仿宋_GB2312"/>
          <w:color w:val="000000"/>
          <w:szCs w:val="32"/>
        </w:rPr>
        <w:t>的</w:t>
      </w:r>
      <w:r>
        <w:rPr>
          <w:rFonts w:hint="eastAsia" w:ascii="仿宋_GB2312"/>
          <w:color w:val="000000"/>
          <w:szCs w:val="32"/>
          <w:lang w:eastAsia="zh-CN"/>
        </w:rPr>
        <w:t>铝制品阳极氧化加工生产</w:t>
      </w:r>
      <w:r>
        <w:rPr>
          <w:rFonts w:hint="eastAsia" w:ascii="仿宋_GB2312"/>
          <w:color w:val="000000"/>
          <w:szCs w:val="32"/>
        </w:rPr>
        <w:t>项目</w:t>
      </w:r>
      <w:r>
        <w:rPr>
          <w:rFonts w:hint="eastAsia" w:ascii="仿宋_GB2312"/>
          <w:color w:val="000000"/>
          <w:szCs w:val="32"/>
          <w:lang w:eastAsia="zh-CN"/>
        </w:rPr>
        <w:t>（含着色工序）</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eastAsia="zh-CN"/>
        </w:rPr>
        <w:t>三十</w:t>
      </w:r>
      <w:r>
        <w:rPr>
          <w:rFonts w:hint="eastAsia" w:ascii="仿宋_GB2312"/>
          <w:color w:val="auto"/>
          <w:szCs w:val="32"/>
        </w:rPr>
        <w:t>项 “</w:t>
      </w:r>
      <w:r>
        <w:rPr>
          <w:rFonts w:hint="eastAsia" w:ascii="仿宋_GB2312"/>
          <w:color w:val="auto"/>
          <w:szCs w:val="32"/>
          <w:lang w:eastAsia="zh-CN"/>
        </w:rPr>
        <w:t>金属制品业</w:t>
      </w:r>
      <w:r>
        <w:rPr>
          <w:rFonts w:hint="eastAsia" w:ascii="仿宋_GB2312"/>
          <w:color w:val="auto"/>
          <w:szCs w:val="32"/>
        </w:rPr>
        <w:t>”第</w:t>
      </w:r>
      <w:r>
        <w:rPr>
          <w:rFonts w:hint="eastAsia" w:ascii="仿宋_GB2312"/>
          <w:color w:val="auto"/>
          <w:szCs w:val="32"/>
          <w:lang w:val="en-US" w:eastAsia="zh-CN"/>
        </w:rPr>
        <w:t>67</w:t>
      </w:r>
      <w:r>
        <w:rPr>
          <w:rFonts w:hint="eastAsia" w:ascii="仿宋_GB2312"/>
          <w:color w:val="auto"/>
          <w:szCs w:val="32"/>
        </w:rPr>
        <w:t>类“</w:t>
      </w:r>
      <w:r>
        <w:rPr>
          <w:rFonts w:hint="eastAsia" w:ascii="仿宋_GB2312"/>
          <w:color w:val="auto"/>
          <w:szCs w:val="32"/>
          <w:lang w:eastAsia="zh-CN"/>
        </w:rPr>
        <w:t>金属表面处理及热处理加工</w:t>
      </w:r>
      <w:r>
        <w:rPr>
          <w:rFonts w:hint="eastAsia" w:ascii="仿宋_GB2312"/>
          <w:color w:val="auto"/>
          <w:szCs w:val="32"/>
        </w:rPr>
        <w:t>”</w:t>
      </w:r>
      <w:r>
        <w:rPr>
          <w:rFonts w:hint="eastAsia" w:ascii="仿宋_GB2312"/>
          <w:color w:val="000000"/>
          <w:szCs w:val="32"/>
        </w:rPr>
        <w:t>，应当编制环境影响报告书。但该单位未向环境保护行政主管部门报批环境影响报告书，且需要配套建设的环境保护设施未经验收，建设项目已投入生产。</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62</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5</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2AB206A"/>
    <w:rsid w:val="26F97953"/>
    <w:rsid w:val="28051F38"/>
    <w:rsid w:val="36E07C5A"/>
    <w:rsid w:val="3EA415BB"/>
    <w:rsid w:val="442A1A7D"/>
    <w:rsid w:val="4625630A"/>
    <w:rsid w:val="5F1339E6"/>
    <w:rsid w:val="5F4C7D3F"/>
    <w:rsid w:val="62B306F8"/>
    <w:rsid w:val="640323D2"/>
    <w:rsid w:val="64F776C8"/>
    <w:rsid w:val="6B4E2891"/>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2</TotalTime>
  <ScaleCrop>false</ScaleCrop>
  <LinksUpToDate>false</LinksUpToDate>
  <CharactersWithSpaces>1526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2021-08-27T00:44:00Z</cp:lastPrinted>
  <dcterms:modified xsi:type="dcterms:W3CDTF">2021-09-01T09:26:39Z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A9F4F163888745508E8AE7D49411AB61</vt:lpwstr>
  </property>
</Properties>
</file>