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B6" w:rsidRPr="008A28CE" w:rsidRDefault="000538B6" w:rsidP="000538B6">
      <w:pPr>
        <w:pStyle w:val="1"/>
        <w:snapToGrid w:val="0"/>
        <w:spacing w:line="360" w:lineRule="auto"/>
        <w:ind w:firstLineChars="0" w:firstLine="0"/>
        <w:outlineLvl w:val="1"/>
        <w:rPr>
          <w:rFonts w:ascii="仿宋_GB2312" w:eastAsia="仿宋_GB2312" w:hAnsiTheme="minorHAnsi" w:cstheme="minorBidi"/>
          <w:sz w:val="32"/>
          <w:szCs w:val="28"/>
        </w:rPr>
      </w:pPr>
      <w:r w:rsidRPr="008A28CE">
        <w:rPr>
          <w:rFonts w:ascii="仿宋_GB2312" w:eastAsia="仿宋_GB2312" w:hAnsiTheme="minorHAnsi" w:cstheme="minorBidi" w:hint="eastAsia"/>
          <w:sz w:val="32"/>
          <w:szCs w:val="28"/>
        </w:rPr>
        <w:t xml:space="preserve">附件4 </w:t>
      </w:r>
    </w:p>
    <w:p w:rsidR="006F31FA" w:rsidRPr="006F31FA" w:rsidRDefault="006F31FA" w:rsidP="006713BB">
      <w:pPr>
        <w:pStyle w:val="1"/>
        <w:snapToGrid w:val="0"/>
        <w:spacing w:line="360" w:lineRule="auto"/>
        <w:ind w:firstLineChars="0" w:firstLine="0"/>
        <w:jc w:val="center"/>
        <w:outlineLvl w:val="1"/>
        <w:rPr>
          <w:rFonts w:ascii="黑体" w:eastAsia="黑体" w:hAnsi="黑体"/>
          <w:sz w:val="40"/>
          <w:szCs w:val="30"/>
        </w:rPr>
      </w:pPr>
      <w:r w:rsidRPr="006F31FA">
        <w:rPr>
          <w:rFonts w:ascii="黑体" w:eastAsia="黑体" w:hAnsi="黑体" w:cs="宋体" w:hint="eastAsia"/>
          <w:color w:val="333333"/>
          <w:kern w:val="0"/>
          <w:sz w:val="44"/>
          <w:szCs w:val="32"/>
        </w:rPr>
        <w:t>关于部分检验项目的说明</w:t>
      </w:r>
    </w:p>
    <w:p w:rsidR="00966231" w:rsidRPr="00113F91" w:rsidRDefault="00757116" w:rsidP="00966231">
      <w:pPr>
        <w:adjustRightInd w:val="0"/>
        <w:snapToGrid w:val="0"/>
        <w:spacing w:line="600" w:lineRule="exact"/>
        <w:ind w:firstLineChars="200" w:firstLine="643"/>
        <w:rPr>
          <w:rFonts w:ascii="仿宋_GB2312" w:eastAsia="仿宋_GB2312"/>
          <w:b/>
          <w:sz w:val="32"/>
          <w:szCs w:val="28"/>
        </w:rPr>
      </w:pPr>
      <w:r>
        <w:rPr>
          <w:rFonts w:ascii="仿宋" w:eastAsia="仿宋" w:hAnsi="仿宋" w:cs="仿宋" w:hint="eastAsia"/>
          <w:b/>
          <w:sz w:val="32"/>
          <w:szCs w:val="32"/>
        </w:rPr>
        <w:t>一</w:t>
      </w:r>
      <w:r w:rsidR="004073AF" w:rsidRPr="004073AF">
        <w:rPr>
          <w:rFonts w:ascii="仿宋" w:eastAsia="仿宋" w:hAnsi="仿宋" w:cs="仿宋" w:hint="eastAsia"/>
          <w:b/>
          <w:sz w:val="32"/>
          <w:szCs w:val="32"/>
        </w:rPr>
        <w:t>、</w:t>
      </w:r>
      <w:proofErr w:type="gramStart"/>
      <w:r w:rsidR="00966231" w:rsidRPr="00113F91">
        <w:rPr>
          <w:rFonts w:ascii="仿宋" w:eastAsia="仿宋" w:hAnsi="仿宋" w:cs="仿宋" w:hint="eastAsia"/>
          <w:b/>
          <w:sz w:val="32"/>
          <w:szCs w:val="32"/>
        </w:rPr>
        <w:t>恩诺沙</w:t>
      </w:r>
      <w:proofErr w:type="gramEnd"/>
      <w:r w:rsidR="00966231" w:rsidRPr="00113F91">
        <w:rPr>
          <w:rFonts w:ascii="仿宋" w:eastAsia="仿宋" w:hAnsi="仿宋" w:cs="仿宋" w:hint="eastAsia"/>
          <w:b/>
          <w:sz w:val="32"/>
          <w:szCs w:val="32"/>
        </w:rPr>
        <w:t>星（以</w:t>
      </w:r>
      <w:proofErr w:type="gramStart"/>
      <w:r w:rsidR="00966231" w:rsidRPr="00113F91">
        <w:rPr>
          <w:rFonts w:ascii="仿宋" w:eastAsia="仿宋" w:hAnsi="仿宋" w:cs="仿宋" w:hint="eastAsia"/>
          <w:b/>
          <w:sz w:val="32"/>
          <w:szCs w:val="32"/>
        </w:rPr>
        <w:t>恩诺沙</w:t>
      </w:r>
      <w:proofErr w:type="gramEnd"/>
      <w:r w:rsidR="00966231" w:rsidRPr="00113F91">
        <w:rPr>
          <w:rFonts w:ascii="仿宋" w:eastAsia="仿宋" w:hAnsi="仿宋" w:cs="仿宋" w:hint="eastAsia"/>
          <w:b/>
          <w:sz w:val="32"/>
          <w:szCs w:val="32"/>
        </w:rPr>
        <w:t>星与环丙沙星之和计）</w:t>
      </w:r>
    </w:p>
    <w:p w:rsidR="00966231" w:rsidRDefault="00966231" w:rsidP="00966231">
      <w:pPr>
        <w:widowControl/>
        <w:shd w:val="clear" w:color="auto" w:fill="FFFFFF"/>
        <w:snapToGrid w:val="0"/>
        <w:spacing w:line="590" w:lineRule="exact"/>
        <w:ind w:firstLineChars="200" w:firstLine="640"/>
        <w:rPr>
          <w:rFonts w:ascii="仿宋" w:eastAsia="仿宋" w:hAnsi="仿宋" w:cs="仿宋"/>
          <w:sz w:val="32"/>
          <w:szCs w:val="32"/>
        </w:rPr>
      </w:pPr>
      <w:proofErr w:type="gramStart"/>
      <w:r w:rsidRPr="002D248D">
        <w:rPr>
          <w:rFonts w:ascii="仿宋" w:eastAsia="仿宋" w:hAnsi="仿宋" w:cs="仿宋" w:hint="eastAsia"/>
          <w:sz w:val="32"/>
          <w:szCs w:val="32"/>
        </w:rPr>
        <w:t>恩诺沙星属于氟喹</w:t>
      </w:r>
      <w:proofErr w:type="gramEnd"/>
      <w:r w:rsidRPr="002D248D">
        <w:rPr>
          <w:rFonts w:ascii="仿宋" w:eastAsia="仿宋" w:hAnsi="仿宋" w:cs="仿宋" w:hint="eastAsia"/>
          <w:sz w:val="32"/>
          <w:szCs w:val="32"/>
        </w:rPr>
        <w:t>诺酮类药物，是一类人工合成的广谱抗菌药，用于治疗动物的皮肤感染、呼吸道感染等，是动物专属用药。《动物性食品中兽药最高残留限量》（农业部公告第235号）中规定，</w:t>
      </w:r>
      <w:proofErr w:type="gramStart"/>
      <w:r w:rsidRPr="002D248D">
        <w:rPr>
          <w:rFonts w:ascii="仿宋" w:eastAsia="仿宋" w:hAnsi="仿宋" w:cs="仿宋" w:hint="eastAsia"/>
          <w:sz w:val="32"/>
          <w:szCs w:val="32"/>
        </w:rPr>
        <w:t>恩诺沙</w:t>
      </w:r>
      <w:proofErr w:type="gramEnd"/>
      <w:r w:rsidRPr="002D248D">
        <w:rPr>
          <w:rFonts w:ascii="仿宋" w:eastAsia="仿宋" w:hAnsi="仿宋" w:cs="仿宋" w:hint="eastAsia"/>
          <w:sz w:val="32"/>
          <w:szCs w:val="32"/>
        </w:rPr>
        <w:t>星（以</w:t>
      </w:r>
      <w:proofErr w:type="gramStart"/>
      <w:r w:rsidRPr="002D248D">
        <w:rPr>
          <w:rFonts w:ascii="仿宋" w:eastAsia="仿宋" w:hAnsi="仿宋" w:cs="仿宋" w:hint="eastAsia"/>
          <w:sz w:val="32"/>
          <w:szCs w:val="32"/>
        </w:rPr>
        <w:t>恩诺沙</w:t>
      </w:r>
      <w:proofErr w:type="gramEnd"/>
      <w:r w:rsidRPr="002D248D">
        <w:rPr>
          <w:rFonts w:ascii="仿宋" w:eastAsia="仿宋" w:hAnsi="仿宋" w:cs="仿宋" w:hint="eastAsia"/>
          <w:sz w:val="32"/>
          <w:szCs w:val="32"/>
        </w:rPr>
        <w:t>星和环丙沙星之和计）可用于</w:t>
      </w:r>
      <w:r>
        <w:rPr>
          <w:rFonts w:ascii="仿宋" w:eastAsia="仿宋" w:hAnsi="仿宋" w:cs="仿宋" w:hint="eastAsia"/>
          <w:sz w:val="32"/>
          <w:szCs w:val="32"/>
        </w:rPr>
        <w:t>水产品</w:t>
      </w:r>
      <w:r w:rsidRPr="002D248D">
        <w:rPr>
          <w:rFonts w:ascii="仿宋" w:eastAsia="仿宋" w:hAnsi="仿宋" w:cs="仿宋" w:hint="eastAsia"/>
          <w:sz w:val="32"/>
          <w:szCs w:val="32"/>
        </w:rPr>
        <w:t>（在</w:t>
      </w:r>
      <w:r>
        <w:rPr>
          <w:rFonts w:ascii="仿宋" w:eastAsia="仿宋" w:hAnsi="仿宋" w:cs="仿宋" w:hint="eastAsia"/>
          <w:sz w:val="32"/>
          <w:szCs w:val="32"/>
        </w:rPr>
        <w:t>水产品</w:t>
      </w:r>
      <w:r w:rsidRPr="002D248D">
        <w:rPr>
          <w:rFonts w:ascii="仿宋" w:eastAsia="仿宋" w:hAnsi="仿宋" w:cs="仿宋" w:hint="eastAsia"/>
          <w:sz w:val="32"/>
          <w:szCs w:val="32"/>
        </w:rPr>
        <w:t>的肌肉中的最高残留限量为100μg/kg）。长期摄入检出</w:t>
      </w:r>
      <w:proofErr w:type="gramStart"/>
      <w:r w:rsidRPr="002D248D">
        <w:rPr>
          <w:rFonts w:ascii="仿宋" w:eastAsia="仿宋" w:hAnsi="仿宋" w:cs="仿宋" w:hint="eastAsia"/>
          <w:sz w:val="32"/>
          <w:szCs w:val="32"/>
        </w:rPr>
        <w:t>恩诺沙</w:t>
      </w:r>
      <w:proofErr w:type="gramEnd"/>
      <w:r w:rsidRPr="002D248D">
        <w:rPr>
          <w:rFonts w:ascii="仿宋" w:eastAsia="仿宋" w:hAnsi="仿宋" w:cs="仿宋" w:hint="eastAsia"/>
          <w:sz w:val="32"/>
          <w:szCs w:val="32"/>
        </w:rPr>
        <w:t>星的动物性食品，可能会引起轻度胃肠道刺激或不适、头痛、头晕、睡眠不良等症状，过多摄入还可能引起肝损害。</w:t>
      </w:r>
    </w:p>
    <w:p w:rsidR="00471FC2" w:rsidRDefault="00757116" w:rsidP="00757116">
      <w:pPr>
        <w:ind w:firstLineChars="200" w:firstLine="643"/>
        <w:rPr>
          <w:rFonts w:ascii="仿宋" w:eastAsia="仿宋" w:hAnsi="仿宋" w:cs="仿宋"/>
          <w:b/>
          <w:sz w:val="32"/>
          <w:szCs w:val="32"/>
        </w:rPr>
      </w:pPr>
      <w:r>
        <w:rPr>
          <w:rFonts w:ascii="仿宋" w:eastAsia="仿宋" w:hAnsi="仿宋" w:cs="仿宋" w:hint="eastAsia"/>
          <w:b/>
          <w:sz w:val="32"/>
          <w:szCs w:val="32"/>
        </w:rPr>
        <w:t>二、</w:t>
      </w:r>
      <w:r w:rsidR="003F03B9" w:rsidRPr="003F03B9">
        <w:rPr>
          <w:rFonts w:ascii="仿宋" w:eastAsia="仿宋" w:hAnsi="仿宋" w:cs="仿宋" w:hint="eastAsia"/>
          <w:b/>
          <w:sz w:val="32"/>
          <w:szCs w:val="32"/>
        </w:rPr>
        <w:t>孔雀石绿</w:t>
      </w:r>
    </w:p>
    <w:p w:rsidR="00757116" w:rsidRPr="00BE26C8" w:rsidRDefault="00137DE9" w:rsidP="00BE26C8">
      <w:pPr>
        <w:ind w:firstLineChars="200" w:firstLine="640"/>
        <w:rPr>
          <w:rFonts w:ascii="仿宋" w:eastAsia="仿宋" w:hAnsi="仿宋" w:cs="仿宋"/>
          <w:sz w:val="32"/>
          <w:szCs w:val="32"/>
        </w:rPr>
      </w:pPr>
      <w:r w:rsidRPr="00137DE9">
        <w:rPr>
          <w:rFonts w:ascii="仿宋" w:eastAsia="仿宋" w:hAnsi="仿宋" w:cs="仿宋"/>
          <w:sz w:val="32"/>
          <w:szCs w:val="32"/>
        </w:rPr>
        <w:t>孔雀石绿别名碱性绿、盐基块绿、孔雀绿，是一种三苯甲烷结构的染料，因其外观颜色呈孔雀绿而得名。自被证实具有抗菌杀虫等药效以来，许多国家曾广泛将其用作驱虫剂、杀菌剂和防腐剂，以杀灭水产动物体外的寄生虫、原生动物和鱼卵中的霉菌等。孔雀石绿可在鱼体内长时间残留，通过食物链可能对人体产生致</w:t>
      </w:r>
      <w:proofErr w:type="gramStart"/>
      <w:r w:rsidRPr="00137DE9">
        <w:rPr>
          <w:rFonts w:ascii="仿宋" w:eastAsia="仿宋" w:hAnsi="仿宋" w:cs="仿宋"/>
          <w:sz w:val="32"/>
          <w:szCs w:val="32"/>
        </w:rPr>
        <w:t>畸</w:t>
      </w:r>
      <w:proofErr w:type="gramEnd"/>
      <w:r w:rsidRPr="00137DE9">
        <w:rPr>
          <w:rFonts w:ascii="仿宋" w:eastAsia="仿宋" w:hAnsi="仿宋" w:cs="仿宋"/>
          <w:sz w:val="32"/>
          <w:szCs w:val="32"/>
        </w:rPr>
        <w:t>、致癌和致突变等危害。我国农业部公告第235号《动物性食品中兽药最高残留限量》和我国《食品中可能违法添加的非食用物质和易滥用的食品添加剂名单（第四批）通知》均明确规定所有食品动物禁止使用孔雀石绿。</w:t>
      </w:r>
    </w:p>
    <w:p w:rsidR="00A64576" w:rsidRDefault="00F87FBE" w:rsidP="00A64576">
      <w:pPr>
        <w:ind w:firstLineChars="200" w:firstLine="643"/>
        <w:rPr>
          <w:rFonts w:ascii="仿宋" w:eastAsia="仿宋" w:hAnsi="仿宋" w:cs="仿宋" w:hint="eastAsia"/>
          <w:b/>
          <w:sz w:val="32"/>
          <w:szCs w:val="32"/>
        </w:rPr>
      </w:pPr>
      <w:r w:rsidRPr="00C215C4">
        <w:rPr>
          <w:rFonts w:ascii="仿宋" w:eastAsia="仿宋" w:hAnsi="仿宋" w:cs="仿宋" w:hint="eastAsia"/>
          <w:b/>
          <w:sz w:val="32"/>
          <w:szCs w:val="32"/>
        </w:rPr>
        <w:lastRenderedPageBreak/>
        <w:t>三、</w:t>
      </w:r>
      <w:r w:rsidR="003F03B9">
        <w:rPr>
          <w:rFonts w:ascii="仿宋" w:eastAsia="仿宋" w:hAnsi="仿宋" w:cs="仿宋" w:hint="eastAsia"/>
          <w:b/>
          <w:sz w:val="32"/>
          <w:szCs w:val="32"/>
        </w:rPr>
        <w:t>钠</w:t>
      </w:r>
    </w:p>
    <w:p w:rsidR="003F03B9" w:rsidRPr="00A64576" w:rsidRDefault="00A64576" w:rsidP="00A64576">
      <w:pPr>
        <w:pStyle w:val="Default"/>
        <w:ind w:firstLine="640"/>
        <w:jc w:val="both"/>
        <w:rPr>
          <w:rFonts w:ascii="宋体" w:eastAsia="宋体" w:cs="宋体" w:hint="eastAsia"/>
          <w:sz w:val="18"/>
          <w:szCs w:val="18"/>
        </w:rPr>
      </w:pPr>
      <w:r w:rsidRPr="00A64576">
        <w:rPr>
          <w:rFonts w:ascii="仿宋" w:eastAsia="仿宋" w:hAnsi="仿宋" w:cs="仿宋"/>
          <w:sz w:val="32"/>
          <w:szCs w:val="32"/>
        </w:rPr>
        <w:t>GB 28050—2011</w:t>
      </w:r>
      <w:r w:rsidRPr="00A64576">
        <w:rPr>
          <w:rFonts w:ascii="仿宋" w:eastAsia="仿宋" w:hAnsi="仿宋" w:cs="仿宋" w:hint="eastAsia"/>
          <w:sz w:val="32"/>
          <w:szCs w:val="32"/>
        </w:rPr>
        <w:t>《</w:t>
      </w:r>
      <w:r w:rsidRPr="00A64576">
        <w:rPr>
          <w:rFonts w:ascii="仿宋" w:eastAsia="仿宋" w:hAnsi="仿宋" w:cs="仿宋" w:hint="eastAsia"/>
          <w:sz w:val="32"/>
          <w:szCs w:val="32"/>
        </w:rPr>
        <w:t>食品安全国家标准</w:t>
      </w:r>
      <w:r w:rsidRPr="00A64576">
        <w:rPr>
          <w:rFonts w:ascii="仿宋" w:eastAsia="仿宋" w:hAnsi="仿宋" w:cs="仿宋"/>
          <w:sz w:val="32"/>
          <w:szCs w:val="32"/>
        </w:rPr>
        <w:t xml:space="preserve"> </w:t>
      </w:r>
      <w:r w:rsidRPr="00A64576">
        <w:rPr>
          <w:rFonts w:ascii="仿宋" w:eastAsia="仿宋" w:hAnsi="仿宋" w:cs="仿宋" w:hint="eastAsia"/>
          <w:sz w:val="32"/>
          <w:szCs w:val="32"/>
        </w:rPr>
        <w:t>预包装食品营养标签通则</w:t>
      </w:r>
      <w:r w:rsidRPr="00A64576">
        <w:rPr>
          <w:rFonts w:ascii="仿宋" w:eastAsia="仿宋" w:hAnsi="仿宋" w:cs="仿宋" w:hint="eastAsia"/>
          <w:sz w:val="32"/>
          <w:szCs w:val="32"/>
        </w:rPr>
        <w:t>》</w:t>
      </w:r>
      <w:r>
        <w:rPr>
          <w:rFonts w:ascii="仿宋" w:eastAsia="仿宋" w:hAnsi="仿宋" w:cs="仿宋" w:hint="eastAsia"/>
          <w:sz w:val="32"/>
          <w:szCs w:val="32"/>
        </w:rPr>
        <w:t>规定，</w:t>
      </w:r>
      <w:r w:rsidRPr="00A64576">
        <w:rPr>
          <w:rFonts w:ascii="仿宋" w:eastAsia="仿宋" w:hAnsi="仿宋" w:cs="仿宋" w:hint="eastAsia"/>
          <w:sz w:val="32"/>
          <w:szCs w:val="32"/>
        </w:rPr>
        <w:t>营养标签中的核心营养素包括蛋白质、脂肪、碳水化合物和钠。</w:t>
      </w:r>
      <w:r w:rsidRPr="00A64576">
        <w:rPr>
          <w:rFonts w:ascii="仿宋" w:eastAsia="仿宋" w:hAnsi="仿宋" w:cs="仿宋" w:hint="eastAsia"/>
          <w:sz w:val="32"/>
          <w:szCs w:val="32"/>
        </w:rPr>
        <w:t>在产品保质期内，食品中的能量以及脂肪、饱和脂肪（酸）、反式脂肪（酸），胆固醇，钠，糖（除外乳糖）的允许误差范围≤</w:t>
      </w:r>
      <w:r w:rsidRPr="00A64576">
        <w:rPr>
          <w:rFonts w:ascii="仿宋" w:eastAsia="仿宋" w:hAnsi="仿宋" w:cs="仿宋"/>
          <w:sz w:val="32"/>
          <w:szCs w:val="32"/>
        </w:rPr>
        <w:t xml:space="preserve"> 120 %</w:t>
      </w:r>
      <w:r w:rsidRPr="00A64576">
        <w:rPr>
          <w:rFonts w:ascii="仿宋" w:eastAsia="仿宋" w:hAnsi="仿宋" w:cs="仿宋" w:hint="eastAsia"/>
          <w:sz w:val="32"/>
          <w:szCs w:val="32"/>
        </w:rPr>
        <w:t>标示值。</w:t>
      </w:r>
    </w:p>
    <w:p w:rsidR="005924C0" w:rsidRDefault="003F03B9" w:rsidP="005924C0">
      <w:pPr>
        <w:ind w:firstLineChars="200" w:firstLine="643"/>
        <w:rPr>
          <w:rFonts w:ascii="仿宋" w:eastAsia="仿宋" w:hAnsi="仿宋" w:cs="仿宋" w:hint="eastAsia"/>
          <w:b/>
          <w:sz w:val="32"/>
          <w:szCs w:val="32"/>
        </w:rPr>
      </w:pPr>
      <w:r>
        <w:rPr>
          <w:rFonts w:ascii="仿宋" w:eastAsia="仿宋" w:hAnsi="仿宋" w:cs="仿宋" w:hint="eastAsia"/>
          <w:b/>
          <w:sz w:val="32"/>
          <w:szCs w:val="32"/>
        </w:rPr>
        <w:t>四、标签</w:t>
      </w:r>
    </w:p>
    <w:p w:rsidR="003F03B9" w:rsidRPr="005924C0" w:rsidRDefault="005924C0" w:rsidP="005924C0">
      <w:pPr>
        <w:ind w:firstLineChars="200" w:firstLine="640"/>
        <w:rPr>
          <w:rFonts w:ascii="仿宋" w:eastAsia="仿宋" w:hAnsi="仿宋" w:cs="仿宋"/>
          <w:color w:val="000000"/>
          <w:kern w:val="0"/>
          <w:sz w:val="32"/>
          <w:szCs w:val="32"/>
        </w:rPr>
      </w:pPr>
      <w:r w:rsidRPr="00A64576">
        <w:rPr>
          <w:rFonts w:ascii="仿宋" w:eastAsia="仿宋" w:hAnsi="仿宋" w:cs="仿宋"/>
          <w:sz w:val="32"/>
          <w:szCs w:val="32"/>
        </w:rPr>
        <w:t>GB</w:t>
      </w:r>
      <w:r w:rsidRPr="005924C0">
        <w:rPr>
          <w:rFonts w:ascii="仿宋" w:eastAsia="仿宋" w:hAnsi="仿宋" w:cs="仿宋"/>
          <w:color w:val="000000"/>
          <w:kern w:val="0"/>
          <w:sz w:val="32"/>
          <w:szCs w:val="32"/>
        </w:rPr>
        <w:t xml:space="preserve"> </w:t>
      </w:r>
      <w:r w:rsidRPr="005924C0">
        <w:rPr>
          <w:rFonts w:ascii="仿宋" w:eastAsia="仿宋" w:hAnsi="仿宋" w:cs="仿宋" w:hint="eastAsia"/>
          <w:color w:val="000000"/>
          <w:kern w:val="0"/>
          <w:sz w:val="32"/>
          <w:szCs w:val="32"/>
        </w:rPr>
        <w:t>7718</w:t>
      </w:r>
      <w:r w:rsidRPr="005924C0">
        <w:rPr>
          <w:rFonts w:ascii="仿宋" w:eastAsia="仿宋" w:hAnsi="仿宋" w:cs="仿宋"/>
          <w:color w:val="000000"/>
          <w:kern w:val="0"/>
          <w:sz w:val="32"/>
          <w:szCs w:val="32"/>
        </w:rPr>
        <w:t>—2011</w:t>
      </w:r>
      <w:r w:rsidRPr="005924C0">
        <w:rPr>
          <w:rFonts w:ascii="仿宋" w:eastAsia="仿宋" w:hAnsi="仿宋" w:cs="仿宋" w:hint="eastAsia"/>
          <w:color w:val="000000"/>
          <w:kern w:val="0"/>
          <w:sz w:val="32"/>
          <w:szCs w:val="32"/>
        </w:rPr>
        <w:t>《食品安全国家标准</w:t>
      </w:r>
      <w:r w:rsidRPr="005924C0">
        <w:rPr>
          <w:rFonts w:ascii="仿宋" w:eastAsia="仿宋" w:hAnsi="仿宋" w:cs="仿宋"/>
          <w:color w:val="000000"/>
          <w:kern w:val="0"/>
          <w:sz w:val="32"/>
          <w:szCs w:val="32"/>
        </w:rPr>
        <w:t xml:space="preserve"> </w:t>
      </w:r>
      <w:r w:rsidRPr="005924C0">
        <w:rPr>
          <w:rFonts w:ascii="仿宋" w:eastAsia="仿宋" w:hAnsi="仿宋" w:cs="仿宋" w:hint="eastAsia"/>
          <w:color w:val="000000"/>
          <w:kern w:val="0"/>
          <w:sz w:val="32"/>
          <w:szCs w:val="32"/>
        </w:rPr>
        <w:t>预包装食品标签通则》</w:t>
      </w:r>
      <w:r w:rsidRPr="005924C0">
        <w:rPr>
          <w:rFonts w:ascii="仿宋" w:eastAsia="仿宋" w:hAnsi="仿宋" w:cs="仿宋"/>
          <w:color w:val="000000"/>
          <w:kern w:val="0"/>
          <w:sz w:val="32"/>
          <w:szCs w:val="32"/>
        </w:rPr>
        <w:t>规定</w:t>
      </w:r>
      <w:r w:rsidRPr="005924C0">
        <w:rPr>
          <w:rFonts w:ascii="仿宋" w:eastAsia="仿宋" w:hAnsi="仿宋" w:cs="仿宋" w:hint="eastAsia"/>
          <w:color w:val="000000"/>
          <w:kern w:val="0"/>
          <w:sz w:val="32"/>
          <w:szCs w:val="32"/>
        </w:rPr>
        <w:t>，</w:t>
      </w:r>
      <w:bookmarkStart w:id="0" w:name="_GoBack"/>
      <w:bookmarkEnd w:id="0"/>
      <w:r w:rsidRPr="005924C0">
        <w:rPr>
          <w:rFonts w:ascii="仿宋" w:eastAsia="仿宋" w:hAnsi="仿宋" w:cs="仿宋" w:hint="eastAsia"/>
          <w:color w:val="000000"/>
          <w:kern w:val="0"/>
          <w:sz w:val="32"/>
          <w:szCs w:val="32"/>
        </w:rPr>
        <w:t>预包装食品包装物或包装容器最大表面面积大于</w:t>
      </w:r>
      <w:r w:rsidRPr="005924C0">
        <w:rPr>
          <w:rFonts w:ascii="仿宋" w:eastAsia="仿宋" w:hAnsi="仿宋" w:cs="仿宋"/>
          <w:color w:val="000000"/>
          <w:kern w:val="0"/>
          <w:sz w:val="32"/>
          <w:szCs w:val="32"/>
        </w:rPr>
        <w:t>35cm</w:t>
      </w:r>
      <w:r w:rsidRPr="005924C0">
        <w:rPr>
          <w:rFonts w:ascii="仿宋" w:eastAsia="仿宋" w:hAnsi="仿宋" w:cs="仿宋"/>
          <w:color w:val="000000"/>
          <w:kern w:val="0"/>
          <w:sz w:val="32"/>
          <w:szCs w:val="32"/>
          <w:vertAlign w:val="superscript"/>
        </w:rPr>
        <w:t>2</w:t>
      </w:r>
      <w:r w:rsidRPr="005924C0">
        <w:rPr>
          <w:rFonts w:ascii="仿宋" w:eastAsia="仿宋" w:hAnsi="仿宋" w:cs="仿宋"/>
          <w:color w:val="000000"/>
          <w:kern w:val="0"/>
          <w:sz w:val="32"/>
          <w:szCs w:val="32"/>
        </w:rPr>
        <w:t xml:space="preserve"> </w:t>
      </w:r>
      <w:r w:rsidRPr="005924C0">
        <w:rPr>
          <w:rFonts w:ascii="仿宋" w:eastAsia="仿宋" w:hAnsi="仿宋" w:cs="仿宋" w:hint="eastAsia"/>
          <w:color w:val="000000"/>
          <w:kern w:val="0"/>
          <w:sz w:val="32"/>
          <w:szCs w:val="32"/>
        </w:rPr>
        <w:t>时</w:t>
      </w:r>
      <w:r>
        <w:rPr>
          <w:rFonts w:ascii="仿宋" w:eastAsia="仿宋" w:hAnsi="仿宋" w:cs="仿宋" w:hint="eastAsia"/>
          <w:color w:val="000000"/>
          <w:kern w:val="0"/>
          <w:sz w:val="32"/>
          <w:szCs w:val="32"/>
        </w:rPr>
        <w:t>，</w:t>
      </w:r>
      <w:r w:rsidRPr="005924C0">
        <w:rPr>
          <w:rFonts w:ascii="仿宋" w:eastAsia="仿宋" w:hAnsi="仿宋" w:cs="仿宋" w:hint="eastAsia"/>
          <w:color w:val="000000"/>
          <w:kern w:val="0"/>
          <w:sz w:val="32"/>
          <w:szCs w:val="32"/>
        </w:rPr>
        <w:t>强制标示内容的文字、符号、数字的高度不得小于</w:t>
      </w:r>
      <w:r w:rsidRPr="005924C0">
        <w:rPr>
          <w:rFonts w:ascii="仿宋" w:eastAsia="仿宋" w:hAnsi="仿宋" w:cs="仿宋"/>
          <w:color w:val="000000"/>
          <w:kern w:val="0"/>
          <w:sz w:val="32"/>
          <w:szCs w:val="32"/>
        </w:rPr>
        <w:t>1.8mm</w:t>
      </w:r>
      <w:r w:rsidRPr="005924C0">
        <w:rPr>
          <w:rFonts w:ascii="仿宋" w:eastAsia="仿宋" w:hAnsi="仿宋" w:cs="仿宋" w:hint="eastAsia"/>
          <w:color w:val="000000"/>
          <w:kern w:val="0"/>
          <w:sz w:val="32"/>
          <w:szCs w:val="32"/>
        </w:rPr>
        <w:t>。</w:t>
      </w:r>
    </w:p>
    <w:p w:rsidR="00F87FBE" w:rsidRPr="00CA45C4" w:rsidRDefault="00F87FBE" w:rsidP="003F03B9">
      <w:pPr>
        <w:ind w:firstLineChars="200" w:firstLine="640"/>
        <w:rPr>
          <w:rFonts w:ascii="仿宋" w:eastAsia="仿宋" w:hAnsi="仿宋" w:cs="仿宋"/>
          <w:sz w:val="32"/>
          <w:szCs w:val="32"/>
        </w:rPr>
      </w:pPr>
    </w:p>
    <w:sectPr w:rsidR="00F87FBE" w:rsidRPr="00CA45C4" w:rsidSect="001001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563" w:rsidRDefault="00610563" w:rsidP="004073AF">
      <w:r>
        <w:separator/>
      </w:r>
    </w:p>
  </w:endnote>
  <w:endnote w:type="continuationSeparator" w:id="0">
    <w:p w:rsidR="00610563" w:rsidRDefault="00610563" w:rsidP="0040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黑体">
    <w:altName w:val="oúì."/>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563" w:rsidRDefault="00610563" w:rsidP="004073AF">
      <w:r>
        <w:separator/>
      </w:r>
    </w:p>
  </w:footnote>
  <w:footnote w:type="continuationSeparator" w:id="0">
    <w:p w:rsidR="00610563" w:rsidRDefault="00610563" w:rsidP="00407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1CE4"/>
    <w:multiLevelType w:val="hybridMultilevel"/>
    <w:tmpl w:val="44E42CF4"/>
    <w:lvl w:ilvl="0" w:tplc="95C2DBE4">
      <w:start w:val="1"/>
      <w:numFmt w:val="japaneseCounting"/>
      <w:lvlText w:val="%1、"/>
      <w:lvlJc w:val="left"/>
      <w:pPr>
        <w:ind w:left="2040" w:hanging="72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
    <w:nsid w:val="6CA83280"/>
    <w:multiLevelType w:val="hybridMultilevel"/>
    <w:tmpl w:val="869A29EE"/>
    <w:lvl w:ilvl="0" w:tplc="5DD0626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6FD92D18"/>
    <w:multiLevelType w:val="hybridMultilevel"/>
    <w:tmpl w:val="FE0E2970"/>
    <w:lvl w:ilvl="0" w:tplc="9D08CBDA">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31FA"/>
    <w:rsid w:val="000538B6"/>
    <w:rsid w:val="000641DE"/>
    <w:rsid w:val="00082F81"/>
    <w:rsid w:val="000F39F5"/>
    <w:rsid w:val="00100115"/>
    <w:rsid w:val="00137DE9"/>
    <w:rsid w:val="001827BE"/>
    <w:rsid w:val="002837D6"/>
    <w:rsid w:val="002A3ADE"/>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rsid w:val="006F31FA"/>
    <w:pPr>
      <w:ind w:firstLineChars="200" w:firstLine="420"/>
    </w:pPr>
    <w:rPr>
      <w:rFonts w:ascii="Times New Roman" w:eastAsia="宋体" w:hAnsi="Times New Roman" w:cs="Times New Roman"/>
      <w:szCs w:val="24"/>
    </w:rPr>
  </w:style>
  <w:style w:type="paragraph" w:styleId="a3">
    <w:name w:val="List Paragraph"/>
    <w:basedOn w:val="a"/>
    <w:uiPriority w:val="34"/>
    <w:qFormat/>
    <w:rsid w:val="009F58B2"/>
    <w:pPr>
      <w:ind w:firstLineChars="200" w:firstLine="42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40121F"/>
    <w:pPr>
      <w:widowControl w:val="0"/>
      <w:jc w:val="both"/>
    </w:pPr>
    <w:rPr>
      <w:rFonts w:ascii="Calibri" w:eastAsia="宋体" w:hAnsi="Calibri" w:cs="黑体"/>
    </w:rPr>
  </w:style>
  <w:style w:type="paragraph" w:styleId="a4">
    <w:name w:val="header"/>
    <w:basedOn w:val="a"/>
    <w:link w:val="Char"/>
    <w:uiPriority w:val="99"/>
    <w:unhideWhenUsed/>
    <w:rsid w:val="00407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073AF"/>
    <w:rPr>
      <w:sz w:val="18"/>
      <w:szCs w:val="18"/>
    </w:rPr>
  </w:style>
  <w:style w:type="paragraph" w:styleId="a5">
    <w:name w:val="footer"/>
    <w:basedOn w:val="a"/>
    <w:link w:val="Char0"/>
    <w:uiPriority w:val="99"/>
    <w:unhideWhenUsed/>
    <w:rsid w:val="004073AF"/>
    <w:pPr>
      <w:tabs>
        <w:tab w:val="center" w:pos="4153"/>
        <w:tab w:val="right" w:pos="8306"/>
      </w:tabs>
      <w:snapToGrid w:val="0"/>
      <w:jc w:val="left"/>
    </w:pPr>
    <w:rPr>
      <w:sz w:val="18"/>
      <w:szCs w:val="18"/>
    </w:rPr>
  </w:style>
  <w:style w:type="character" w:customStyle="1" w:styleId="Char0">
    <w:name w:val="页脚 Char"/>
    <w:basedOn w:val="a0"/>
    <w:link w:val="a5"/>
    <w:uiPriority w:val="99"/>
    <w:rsid w:val="004073AF"/>
    <w:rPr>
      <w:sz w:val="18"/>
      <w:szCs w:val="18"/>
    </w:rPr>
  </w:style>
  <w:style w:type="paragraph" w:styleId="a6">
    <w:name w:val="Normal (Web)"/>
    <w:basedOn w:val="a"/>
    <w:uiPriority w:val="99"/>
    <w:semiHidden/>
    <w:unhideWhenUsed/>
    <w:rsid w:val="0082464A"/>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A64576"/>
    <w:pPr>
      <w:widowControl w:val="0"/>
      <w:autoSpaceDE w:val="0"/>
      <w:autoSpaceDN w:val="0"/>
      <w:adjustRightInd w:val="0"/>
    </w:pPr>
    <w:rPr>
      <w:rFonts w:ascii="黑体" w:eastAsia="黑体" w:cs="黑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81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钟岳峰</cp:lastModifiedBy>
  <cp:revision>57</cp:revision>
  <dcterms:created xsi:type="dcterms:W3CDTF">2019-04-17T09:00:00Z</dcterms:created>
  <dcterms:modified xsi:type="dcterms:W3CDTF">2021-11-14T07:59:00Z</dcterms:modified>
</cp:coreProperties>
</file>