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ascii="Times New Roman" w:hAnsi="Times New Roman" w:eastAsia="黑体"/>
          <w:szCs w:val="32"/>
        </w:rPr>
        <w:pict>
          <v:shape id="WJBT2" o:spid="_x0000_s1040" o:spt="202" type="#_x0000_t202" style="position:absolute;left:0pt;margin-top:-28.35pt;height:26pt;width:36.85pt;mso-position-horizontal:center;mso-position-vertical-relative:page;z-index:251660288;mso-width-relative:page;mso-height-relative:page;" stroked="f" coordsize="21600,21600">
            <v:path/>
            <v:fill focussize="0,0"/>
            <v:stroke on="f" joinstyle="miter"/>
            <v:imagedata o:title=""/>
            <o:lock v:ext="edit"/>
            <v:textbox inset="0mm,0mm,0mm,0mm">
              <w:txbxContent>
                <w:p>
                  <w:pPr>
                    <w:spacing w:line="520" w:lineRule="exact"/>
                    <w:jc w:val="distribute"/>
                    <w:rPr>
                      <w:sz w:val="48"/>
                      <w:szCs w:val="48"/>
                    </w:rPr>
                  </w:pPr>
                  <w:r>
                    <w:rPr>
                      <w:rFonts w:hint="eastAsia"/>
                      <w:color w:val="FF0000"/>
                      <w:sz w:val="48"/>
                      <w:szCs w:val="48"/>
                    </w:rPr>
                    <w:t>★</w:t>
                  </w:r>
                </w:p>
              </w:txbxContent>
            </v:textbox>
            <w10:anchorlock/>
          </v:shape>
        </w:pict>
      </w:r>
    </w:p>
    <w:p>
      <w:pPr>
        <w:rPr>
          <w:rFonts w:ascii="黑体" w:hAnsi="黑体" w:eastAsia="黑体"/>
          <w:szCs w:val="32"/>
        </w:rPr>
      </w:pPr>
    </w:p>
    <w:p>
      <w:pPr>
        <w:rPr>
          <w:rFonts w:ascii="黑体" w:hAnsi="黑体" w:eastAsia="黑体"/>
          <w:szCs w:val="32"/>
        </w:rPr>
      </w:pPr>
    </w:p>
    <w:p/>
    <w:p>
      <w:pPr>
        <w:spacing w:line="840" w:lineRule="exact"/>
        <w:rPr>
          <w:szCs w:val="32"/>
        </w:rPr>
      </w:pPr>
    </w:p>
    <w:p>
      <w:pPr>
        <w:spacing w:line="840" w:lineRule="exact"/>
        <w:rPr>
          <w:szCs w:val="32"/>
        </w:rPr>
      </w:pPr>
      <w:r>
        <w:rPr>
          <w:szCs w:val="32"/>
        </w:rPr>
        <w:pict>
          <v:shape id="WJBT" o:spid="_x0000_s1036" o:spt="202" type="#_x0000_t202" style="position:absolute;left:0pt;margin-left:12.55pt;margin-top:247.3pt;height:104.85pt;width:413.85pt;mso-position-vertical-relative:page;z-index:-251654144;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spacing w:line="840" w:lineRule="exact"/>
        <w:rPr>
          <w:szCs w:val="32"/>
        </w:rPr>
      </w:pP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新农农〔2022〕</w:t>
      </w:r>
      <w:r>
        <w:rPr>
          <w:rFonts w:hint="eastAsia" w:ascii="仿宋_GB2312" w:hAnsi="仿宋_GB2312" w:eastAsia="仿宋_GB2312" w:cs="仿宋_GB2312"/>
          <w:szCs w:val="32"/>
          <w:lang w:val="en-US" w:eastAsia="zh-CN"/>
        </w:rPr>
        <w:t>42</w:t>
      </w:r>
      <w:r>
        <w:rPr>
          <w:rFonts w:hint="eastAsia" w:ascii="仿宋_GB2312" w:hAnsi="仿宋_GB2312" w:eastAsia="仿宋_GB2312" w:cs="仿宋_GB2312"/>
          <w:szCs w:val="32"/>
        </w:rPr>
        <w:t>号</w:t>
      </w:r>
    </w:p>
    <w:p>
      <w:pPr>
        <w:spacing w:line="400" w:lineRule="exact"/>
        <w:rPr>
          <w:rFonts w:ascii="方正小标宋简体" w:hAnsi="方正小标宋简体" w:eastAsia="方正小标宋简体" w:cs="方正小标宋简体"/>
          <w:sz w:val="44"/>
          <w:szCs w:val="44"/>
        </w:rPr>
      </w:pPr>
      <w:r>
        <w:rPr>
          <w:szCs w:val="32"/>
        </w:rPr>
        <w:pict>
          <v:shape id="GWXH" o:spid="_x0000_s1035" o:spt="202" type="#_x0000_t202" style="position:absolute;left:0pt;margin-left:-0.05pt;margin-top:104.9pt;height:22.7pt;width:63pt;mso-position-vertical-relative:page;z-index:251661312;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szCs w:val="32"/>
        </w:rPr>
        <w:pict>
          <v:line id="BTBX" o:spid="_x0000_s1034" o:spt="20" style="position:absolute;left:0pt;margin-left:-9.05pt;margin-top:394.6pt;height:0pt;width:442.2pt;mso-position-vertical-relative:page;z-index:251659264;mso-width-relative:page;mso-height-relative:page;" stroked="t" coordsize="21600,21600">
            <v:path arrowok="t"/>
            <v:fill focussize="0,0"/>
            <v:stroke weight="1.25pt" color="#FF0000"/>
            <v:imagedata o:title=""/>
            <o:lock v:ext="edit"/>
            <w10:anchorlock/>
          </v:line>
        </w:pict>
      </w:r>
    </w:p>
    <w:p>
      <w:pPr>
        <w:spacing w:line="40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rPr>
        <w:t>关于</w:t>
      </w:r>
      <w:r>
        <w:rPr>
          <w:rFonts w:hint="eastAsia" w:ascii="方正小标宋简体" w:hAnsi="方正小标宋简体" w:eastAsia="方正小标宋简体" w:cs="方正小标宋简体"/>
          <w:b w:val="0"/>
          <w:bCs w:val="0"/>
          <w:sz w:val="44"/>
          <w:szCs w:val="44"/>
          <w:highlight w:val="none"/>
          <w:lang w:eastAsia="zh-CN"/>
        </w:rPr>
        <w:t>印发</w:t>
      </w:r>
      <w:r>
        <w:rPr>
          <w:rFonts w:hint="eastAsia" w:ascii="方正小标宋简体" w:hAnsi="方正小标宋简体" w:eastAsia="方正小标宋简体" w:cs="方正小标宋简体"/>
          <w:b w:val="0"/>
          <w:bCs w:val="0"/>
          <w:sz w:val="44"/>
          <w:szCs w:val="44"/>
          <w:highlight w:val="none"/>
        </w:rPr>
        <w:t>《</w:t>
      </w:r>
      <w:r>
        <w:rPr>
          <w:rFonts w:hint="eastAsia" w:ascii="方正小标宋简体" w:hAnsi="方正小标宋简体" w:eastAsia="方正小标宋简体" w:cs="方正小标宋简体"/>
          <w:b w:val="0"/>
          <w:bCs w:val="0"/>
          <w:sz w:val="44"/>
          <w:szCs w:val="44"/>
          <w:highlight w:val="none"/>
          <w:lang w:eastAsia="zh-CN"/>
        </w:rPr>
        <w:t>江门市新会区</w:t>
      </w:r>
      <w:r>
        <w:rPr>
          <w:rFonts w:hint="eastAsia" w:ascii="方正小标宋简体" w:hAnsi="方正小标宋简体" w:eastAsia="方正小标宋简体" w:cs="方正小标宋简体"/>
          <w:b w:val="0"/>
          <w:bCs w:val="0"/>
          <w:sz w:val="44"/>
          <w:szCs w:val="44"/>
          <w:highlight w:val="none"/>
        </w:rPr>
        <w:t>农药包装废弃物回收处理实施方案》</w:t>
      </w:r>
      <w:r>
        <w:rPr>
          <w:rFonts w:hint="eastAsia" w:ascii="方正小标宋简体" w:hAnsi="方正小标宋简体" w:eastAsia="方正小标宋简体" w:cs="方正小标宋简体"/>
          <w:b w:val="0"/>
          <w:bCs w:val="0"/>
          <w:sz w:val="44"/>
          <w:szCs w:val="44"/>
          <w:highlight w:val="none"/>
          <w:lang w:eastAsia="zh-CN"/>
        </w:rPr>
        <w:t>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银湖湾滨海新区管委会，</w:t>
      </w:r>
      <w:r>
        <w:rPr>
          <w:rFonts w:hint="eastAsia" w:ascii="仿宋_GB2312" w:hAnsi="仿宋_GB2312" w:eastAsia="仿宋_GB2312" w:cs="仿宋_GB2312"/>
          <w:sz w:val="32"/>
          <w:szCs w:val="32"/>
          <w:highlight w:val="none"/>
        </w:rPr>
        <w:t>各镇（街）农业农村办公室：</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根据《中华人民共和国土壤污染防治法》《中华人民共和国固体废物污染环境防治法》《农药管理条例》《农药包装废弃物回收处理管理办法》《国家危险废物名录（2021年版）》等法律法规</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《广东省农药包装废弃物回收处理实施方案》</w:t>
      </w:r>
      <w:r>
        <w:rPr>
          <w:rFonts w:hint="eastAsia" w:ascii="仿宋_GB2312" w:hAnsi="仿宋_GB2312" w:eastAsia="仿宋_GB2312" w:cs="仿宋_GB2312"/>
          <w:sz w:val="32"/>
          <w:szCs w:val="32"/>
          <w:highlight w:val="none"/>
          <w:lang w:eastAsia="zh-CN"/>
        </w:rPr>
        <w:t>等工作要求，结合我区实际，</w:t>
      </w:r>
      <w:r>
        <w:rPr>
          <w:rFonts w:hint="eastAsia" w:ascii="仿宋_GB2312" w:hAnsi="仿宋_GB2312" w:eastAsia="仿宋_GB2312" w:cs="仿宋_GB2312"/>
          <w:sz w:val="32"/>
          <w:szCs w:val="32"/>
          <w:highlight w:val="none"/>
          <w:lang w:val="en-US" w:eastAsia="zh-CN"/>
        </w:rPr>
        <w:t>我局编写了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江门市新会区</w:t>
      </w:r>
      <w:r>
        <w:rPr>
          <w:rFonts w:hint="eastAsia" w:ascii="仿宋_GB2312" w:hAnsi="仿宋_GB2312" w:eastAsia="仿宋_GB2312" w:cs="仿宋_GB2312"/>
          <w:sz w:val="32"/>
          <w:szCs w:val="32"/>
          <w:highlight w:val="none"/>
        </w:rPr>
        <w:t>农药包装废弃物回收处理实施方案》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w:t>
      </w:r>
      <w:r>
        <w:rPr>
          <w:rFonts w:hint="eastAsia" w:ascii="仿宋_GB2312" w:hAnsi="仿宋_GB2312" w:eastAsia="仿宋_GB2312" w:cs="仿宋_GB2312"/>
          <w:sz w:val="32"/>
          <w:szCs w:val="32"/>
          <w:highlight w:val="none"/>
          <w:lang w:eastAsia="zh-CN"/>
        </w:rPr>
        <w:t>印发给你们，请认真贯彻落实，执行中遇到的问题，请径向区农业农村局反映。</w:t>
      </w:r>
    </w:p>
    <w:p>
      <w:pPr>
        <w:pStyle w:val="2"/>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此页无正文</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江门市新会区农业农村局</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 xml:space="preserve">2022年3月23日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梁建兴</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6669800</w:t>
      </w:r>
      <w:r>
        <w:rPr>
          <w:rFonts w:hint="eastAsia" w:ascii="仿宋_GB2312" w:hAnsi="仿宋_GB2312" w:eastAsia="仿宋_GB2312" w:cs="仿宋_GB2312"/>
          <w:sz w:val="32"/>
          <w:szCs w:val="32"/>
          <w:highlight w:val="none"/>
        </w:rPr>
        <w:t>）</w:t>
      </w:r>
    </w:p>
    <w:p>
      <w:pPr>
        <w:pStyle w:val="2"/>
        <w:ind w:firstLine="64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0C0C0C" w:themeColor="text1" w:themeTint="F2"/>
          <w:sz w:val="32"/>
          <w:szCs w:val="32"/>
        </w:rPr>
      </w:pPr>
    </w:p>
    <w:p>
      <w:pPr>
        <w:pStyle w:val="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p>
    <w:p>
      <w:pPr>
        <w:pStyle w:val="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p>
    <w:p>
      <w:pPr>
        <w:rPr>
          <w:rFonts w:hint="eastAsia"/>
        </w:rPr>
      </w:pPr>
    </w:p>
    <w:p>
      <w:pPr>
        <w:pStyle w:val="8"/>
        <w:rPr>
          <w:rFonts w:hint="eastAsia"/>
        </w:rPr>
      </w:pPr>
    </w:p>
    <w:p>
      <w:pPr>
        <w:rPr>
          <w:rFonts w:hint="eastAsia"/>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C0C0C" w:themeColor="text1" w:themeTint="F2"/>
          <w:sz w:val="32"/>
          <w:szCs w:val="32"/>
        </w:rPr>
      </w:pPr>
      <w:r>
        <w:rPr>
          <w:rFonts w:hint="eastAsia" w:ascii="黑体" w:hAnsi="黑体" w:eastAsia="黑体" w:cs="黑体"/>
          <w:color w:val="0C0C0C" w:themeColor="text1" w:themeTint="F2"/>
          <w:sz w:val="32"/>
          <w:szCs w:val="32"/>
        </w:rPr>
        <w:t>公开方式：</w:t>
      </w:r>
      <w:r>
        <w:rPr>
          <w:rFonts w:hint="eastAsia" w:ascii="仿宋_GB2312" w:hAnsi="仿宋_GB2312" w:eastAsia="仿宋_GB2312" w:cs="仿宋_GB2312"/>
          <w:color w:val="0C0C0C" w:themeColor="text1" w:themeTint="F2"/>
          <w:sz w:val="32"/>
          <w:szCs w:val="32"/>
          <w:lang w:val="en-US" w:eastAsia="zh-CN"/>
        </w:rPr>
        <w:t>主动</w:t>
      </w:r>
      <w:r>
        <w:rPr>
          <w:rFonts w:hint="eastAsia" w:ascii="仿宋_GB2312" w:hAnsi="仿宋_GB2312" w:eastAsia="仿宋_GB2312" w:cs="仿宋_GB2312"/>
          <w:color w:val="0C0C0C" w:themeColor="text1" w:themeTint="F2"/>
          <w:sz w:val="32"/>
          <w:szCs w:val="32"/>
        </w:rPr>
        <w:t>公开</w:t>
      </w:r>
    </w:p>
    <w:p>
      <w:pPr>
        <w:pStyle w:val="2"/>
        <w:pBdr>
          <w:bottom w:val="single" w:color="auto" w:sz="4" w:space="0"/>
        </w:pBdr>
        <w:rPr>
          <w:rFonts w:hint="eastAsia"/>
        </w:rPr>
      </w:pPr>
    </w:p>
    <w:p>
      <w:pPr>
        <w:pStyle w:val="2"/>
        <w:ind w:left="960" w:hanging="960" w:hangingChars="300"/>
        <w:jc w:val="both"/>
        <w:rPr>
          <w:rFonts w:hint="default"/>
          <w:lang w:val="en-US" w:eastAsia="zh-CN"/>
        </w:rPr>
      </w:pPr>
      <w:r>
        <w:rPr>
          <w:rFonts w:hint="eastAsia" w:ascii="仿宋_GB2312" w:hAnsi="仿宋_GB2312" w:eastAsia="仿宋_GB2312" w:cs="仿宋_GB2312"/>
          <w:color w:val="0C0C0C" w:themeColor="text1" w:themeTint="F2"/>
          <w:kern w:val="2"/>
          <w:sz w:val="32"/>
          <w:szCs w:val="32"/>
          <w:lang w:val="en-US" w:eastAsia="zh-CN" w:bidi="ar-SA"/>
        </w:rPr>
        <w:t>抄送：江门市农业农村局，区府办，各镇（街、区）政府（办事处、管委会），新会公安分局、新会生态环境分局。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 w:firstLineChars="50"/>
        <w:textAlignment w:val="auto"/>
        <w:rPr>
          <w:rFonts w:hint="eastAsia" w:ascii="仿宋_GB2312" w:hAnsi="仿宋_GB2312" w:eastAsia="仿宋_GB2312" w:cs="仿宋_GB2312"/>
          <w:color w:val="0C0C0C" w:themeColor="text1" w:themeTint="F2"/>
          <w:sz w:val="32"/>
          <w:szCs w:val="32"/>
        </w:rPr>
        <w:sectPr>
          <w:headerReference r:id="rId4" w:type="first"/>
          <w:footerReference r:id="rId6" w:type="first"/>
          <w:headerReference r:id="rId3" w:type="default"/>
          <w:footerReference r:id="rId5" w:type="default"/>
          <w:pgSz w:w="11907" w:h="16839" w:orient="landscape"/>
          <w:pgMar w:top="1701" w:right="1587" w:bottom="1417" w:left="1587" w:header="851" w:footer="760" w:gutter="0"/>
          <w:pgNumType w:fmt="decimal" w:chapStyle="1" w:chapSep="emDash"/>
          <w:cols w:space="720" w:num="1"/>
          <w:titlePg/>
          <w:docGrid w:type="lines" w:linePitch="451" w:charSpace="0"/>
        </w:sectPr>
      </w:pPr>
      <w:r>
        <w:rPr>
          <w:rFonts w:hint="eastAsia" w:ascii="仿宋_GB2312" w:hAnsi="仿宋_GB2312" w:eastAsia="仿宋_GB2312" w:cs="仿宋_GB2312"/>
          <w:color w:val="0C0C0C" w:themeColor="text1" w:themeTint="F2"/>
          <w:sz w:val="32"/>
          <w:szCs w:val="32"/>
        </w:rPr>
        <w:pict>
          <v:line id="_x0000_s1043" o:spid="_x0000_s1043" o:spt="20" style="position:absolute;left:0pt;margin-left:0pt;margin-top:-0.4pt;height:0pt;width:442.2pt;z-index:251664384;mso-width-relative:page;mso-height-relative:page;" coordsize="21600,21600">
            <v:path arrowok="t"/>
            <v:fill focussize="0,0"/>
            <v:stroke weight="1pt"/>
            <v:imagedata o:title=""/>
            <o:lock v:ext="edit"/>
          </v:line>
        </w:pict>
      </w:r>
      <w:r>
        <w:rPr>
          <w:rFonts w:hint="eastAsia" w:ascii="仿宋_GB2312" w:hAnsi="仿宋_GB2312" w:eastAsia="仿宋_GB2312" w:cs="仿宋_GB2312"/>
          <w:color w:val="0C0C0C" w:themeColor="text1" w:themeTint="F2"/>
          <w:sz w:val="32"/>
          <w:szCs w:val="32"/>
        </w:rPr>
        <w:t>江门市新会区农业农村局</w:t>
      </w:r>
      <w:r>
        <w:rPr>
          <w:rFonts w:hint="eastAsia" w:ascii="仿宋_GB2312" w:hAnsi="仿宋_GB2312" w:eastAsia="仿宋_GB2312" w:cs="仿宋_GB2312"/>
          <w:color w:val="0C0C0C" w:themeColor="text1" w:themeTint="F2"/>
          <w:sz w:val="32"/>
          <w:szCs w:val="32"/>
          <w:lang w:val="en-US" w:eastAsia="zh-CN"/>
        </w:rPr>
        <w:t>办公室</w:t>
      </w:r>
      <w:r>
        <w:rPr>
          <w:rFonts w:hint="eastAsia" w:ascii="仿宋_GB2312" w:hAnsi="仿宋_GB2312" w:eastAsia="仿宋_GB2312" w:cs="仿宋_GB2312"/>
          <w:color w:val="0C0C0C" w:themeColor="text1" w:themeTint="F2"/>
          <w:sz w:val="32"/>
          <w:szCs w:val="32"/>
        </w:rPr>
        <w:t xml:space="preserve">      </w:t>
      </w:r>
      <w:r>
        <w:rPr>
          <w:rFonts w:hint="eastAsia" w:ascii="仿宋_GB2312" w:hAnsi="仿宋_GB2312" w:eastAsia="仿宋_GB2312" w:cs="仿宋_GB2312"/>
          <w:color w:val="0C0C0C" w:themeColor="text1" w:themeTint="F2"/>
          <w:sz w:val="32"/>
          <w:szCs w:val="32"/>
          <w:lang w:val="en-US" w:eastAsia="zh-CN"/>
        </w:rPr>
        <w:t xml:space="preserve"> </w:t>
      </w:r>
      <w:r>
        <w:rPr>
          <w:rFonts w:hint="eastAsia" w:ascii="仿宋_GB2312" w:hAnsi="仿宋_GB2312" w:eastAsia="仿宋_GB2312" w:cs="仿宋_GB2312"/>
          <w:color w:val="0C0C0C" w:themeColor="text1" w:themeTint="F2"/>
          <w:sz w:val="32"/>
          <w:szCs w:val="32"/>
        </w:rPr>
        <w:t>2022年3月</w:t>
      </w:r>
      <w:r>
        <w:rPr>
          <w:rFonts w:hint="eastAsia" w:ascii="仿宋_GB2312" w:hAnsi="仿宋_GB2312" w:eastAsia="仿宋_GB2312" w:cs="仿宋_GB2312"/>
          <w:color w:val="0C0C0C" w:themeColor="text1" w:themeTint="F2"/>
          <w:sz w:val="32"/>
          <w:szCs w:val="32"/>
          <w:lang w:val="en-US" w:eastAsia="zh-CN"/>
        </w:rPr>
        <w:t>23</w:t>
      </w:r>
      <w:r>
        <w:rPr>
          <w:rFonts w:hint="eastAsia" w:ascii="仿宋_GB2312" w:hAnsi="仿宋_GB2312" w:eastAsia="仿宋_GB2312" w:cs="仿宋_GB2312"/>
          <w:color w:val="0C0C0C" w:themeColor="text1" w:themeTint="F2"/>
          <w:sz w:val="32"/>
          <w:szCs w:val="32"/>
        </w:rPr>
        <w:t>日印</w:t>
      </w:r>
      <w:r>
        <w:rPr>
          <w:rFonts w:hint="eastAsia" w:ascii="仿宋_GB2312" w:hAnsi="仿宋_GB2312" w:eastAsia="仿宋_GB2312" w:cs="仿宋_GB2312"/>
          <w:color w:val="0C0C0C" w:themeColor="text1" w:themeTint="F2"/>
          <w:sz w:val="32"/>
          <w:szCs w:val="32"/>
        </w:rPr>
        <w:pict>
          <v:line id="_x0000_s1044" o:spid="_x0000_s1044" o:spt="20" style="position:absolute;left:0pt;margin-left:0pt;margin-top:30pt;height:0pt;width:442.2pt;z-index:251663360;mso-width-relative:page;mso-height-relative:page;" coordsize="21600,21600">
            <v:path arrowok="t"/>
            <v:fill focussize="0,0"/>
            <v:stroke/>
            <v:imagedata o:title=""/>
            <o:lock v:ext="edit"/>
            <w10:anchorlock/>
          </v:line>
        </w:pict>
      </w:r>
      <w:r>
        <w:rPr>
          <w:rFonts w:hint="eastAsia" w:ascii="仿宋_GB2312" w:hAnsi="仿宋_GB2312" w:eastAsia="仿宋_GB2312" w:cs="仿宋_GB2312"/>
          <w:color w:val="0C0C0C" w:themeColor="text1" w:themeTint="F2"/>
          <w:sz w:val="32"/>
          <w:szCs w:val="32"/>
          <w:lang w:val="en-US" w:eastAsia="zh-CN"/>
        </w:rPr>
        <w:t>发</w:t>
      </w:r>
    </w:p>
    <w:p>
      <w:pPr>
        <w:tabs>
          <w:tab w:val="left" w:pos="699"/>
        </w:tabs>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江门市新会区</w:t>
      </w:r>
      <w:r>
        <w:rPr>
          <w:rFonts w:hint="eastAsia" w:ascii="方正小标宋简体" w:hAnsi="方正小标宋简体" w:eastAsia="方正小标宋简体" w:cs="方正小标宋简体"/>
          <w:b w:val="0"/>
          <w:bCs w:val="0"/>
          <w:sz w:val="44"/>
          <w:szCs w:val="44"/>
          <w:highlight w:val="none"/>
        </w:rPr>
        <w:t>农药包装废弃物回收处理实施方案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　　</w:t>
      </w:r>
      <w:r>
        <w:rPr>
          <w:rFonts w:hint="eastAsia" w:ascii="仿宋_GB2312" w:hAnsi="仿宋_GB2312" w:eastAsia="仿宋_GB2312" w:cs="仿宋_GB2312"/>
          <w:sz w:val="32"/>
          <w:szCs w:val="32"/>
          <w:highlight w:val="none"/>
        </w:rPr>
        <w:t>为贯彻落实《农药包装废弃物回收处理管理办法》，防治农药包装废弃物污染，保障公众健康，保护生态环境，结合我</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实际，制定本方案。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b w:val="0"/>
          <w:bCs w:val="0"/>
          <w:sz w:val="32"/>
          <w:szCs w:val="32"/>
          <w:highlight w:val="none"/>
        </w:rPr>
        <w:t>　一、目标任务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以习近平新时代中国特色社会主义思想为指导，深入贯彻落实党的十九大和十九届二中、三中、四中、五中全会精神，贯彻落实习近平生态文明思想和绿色发展理念，按照属地管理的原则，构建布局合理、运转高效、全程可控的农药包装废弃物回收和处理体系，全面落实农药生产者、经营者和使用者的回收处理主体责任，鼓励资源化利用单位、行业协会、专业化服务机构等共同参与。到2025年，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农药包装废弃物回收率提高到80%以上，回收的农药包装废弃物100%资源化利用和无害化处理，切实保护生态环境，保障人民群众健康。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b w:val="0"/>
          <w:bCs w:val="0"/>
          <w:sz w:val="32"/>
          <w:szCs w:val="32"/>
          <w:highlight w:val="none"/>
        </w:rPr>
        <w:t>二、主要措施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（一）加强调查监测，掌握产生回收情况。</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加强调查监测农药包装废弃物产生、回收情况，准确统计本辖区农药使用量，及时统计汇总农药包装废弃物回收量。在国家未出台相关统计标准前，自2021年1月1日起，农药包装废弃物的产生量按照农药使用量的10%进行折算统计，回收量按照实际重量统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（二）结合当地实际，</w:t>
      </w:r>
      <w:r>
        <w:rPr>
          <w:rFonts w:hint="eastAsia" w:ascii="楷体" w:hAnsi="楷体" w:eastAsia="楷体" w:cs="楷体"/>
          <w:sz w:val="32"/>
          <w:szCs w:val="32"/>
          <w:highlight w:val="none"/>
          <w:lang w:eastAsia="zh-CN"/>
        </w:rPr>
        <w:t>推进回收工作</w:t>
      </w:r>
      <w:r>
        <w:rPr>
          <w:rFonts w:hint="eastAsia" w:ascii="楷体" w:hAnsi="楷体" w:eastAsia="楷体" w:cs="楷体"/>
          <w:sz w:val="32"/>
          <w:szCs w:val="32"/>
          <w:highlight w:val="none"/>
        </w:rPr>
        <w:t>。</w:t>
      </w:r>
      <w:r>
        <w:rPr>
          <w:rFonts w:hint="eastAsia" w:ascii="仿宋_GB2312" w:hAnsi="仿宋_GB2312" w:eastAsia="仿宋_GB2312" w:cs="仿宋_GB2312"/>
          <w:sz w:val="32"/>
          <w:szCs w:val="32"/>
          <w:highlight w:val="none"/>
        </w:rPr>
        <w:t>鼓励</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根据当地实际探索建立更加完善的回收体系。农药使用者在配药时要通过清洗等方式充分利用包装物中的农药，减少残留农药，并将农药包装废弃物分类就近交回农药经营者。农药包装废弃物分为可资源化利用（塑料瓶）和非资源化利用（塑料瓶除外的其他农药包装废弃物）两类，各</w:t>
      </w:r>
      <w:r>
        <w:rPr>
          <w:rFonts w:hint="eastAsia" w:ascii="仿宋_GB2312" w:hAnsi="仿宋_GB2312" w:eastAsia="仿宋_GB2312" w:cs="仿宋_GB2312"/>
          <w:sz w:val="32"/>
          <w:szCs w:val="32"/>
          <w:highlight w:val="none"/>
          <w:lang w:eastAsia="zh-CN"/>
        </w:rPr>
        <w:t>回收主体</w:t>
      </w:r>
      <w:r>
        <w:rPr>
          <w:rFonts w:hint="eastAsia" w:ascii="仿宋_GB2312" w:hAnsi="仿宋_GB2312" w:eastAsia="仿宋_GB2312" w:cs="仿宋_GB2312"/>
          <w:sz w:val="32"/>
          <w:szCs w:val="32"/>
          <w:highlight w:val="none"/>
        </w:rPr>
        <w:t>要分类回收存放，建立回收电子台账，记录农药包装废弃物的数量和去向信息。农药经营者要至少配备两个带盖的、防渗漏的农药包装废弃物回收桶，标注“农药包装废弃物回收专用”的同时，分别标注蓝色的“可资源化利用（塑料瓶）”、红色的“非资源化利用（塑料瓶除外）”标识，可资源化利用回收桶用于存放塑料农药瓶，非资源化利用回收桶用于存放其他农药包装物，如铝箔袋、玻璃瓶等。农药经营者要督促使用者做好农药包装物的清洗，对回收的农药包装物清洗情况进行查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（三）压实主体责任，</w:t>
      </w:r>
      <w:r>
        <w:rPr>
          <w:rFonts w:hint="eastAsia" w:ascii="楷体" w:hAnsi="楷体" w:eastAsia="楷体" w:cs="楷体"/>
          <w:sz w:val="32"/>
          <w:szCs w:val="32"/>
          <w:highlight w:val="none"/>
          <w:lang w:eastAsia="zh-CN"/>
        </w:rPr>
        <w:t>健全</w:t>
      </w:r>
      <w:r>
        <w:rPr>
          <w:rFonts w:hint="eastAsia" w:ascii="楷体" w:hAnsi="楷体" w:eastAsia="楷体" w:cs="楷体"/>
          <w:sz w:val="32"/>
          <w:szCs w:val="32"/>
          <w:highlight w:val="none"/>
        </w:rPr>
        <w:t>回收处理机制。</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要压实农药生产者、经营者和使用者回收处理农药包装废弃物的主体责任，</w:t>
      </w:r>
      <w:r>
        <w:rPr>
          <w:rFonts w:hint="eastAsia" w:ascii="仿宋_GB2312" w:hAnsi="仿宋_GB2312" w:eastAsia="仿宋_GB2312" w:cs="仿宋_GB2312"/>
          <w:sz w:val="32"/>
          <w:szCs w:val="32"/>
          <w:highlight w:val="none"/>
          <w:lang w:eastAsia="zh-CN"/>
        </w:rPr>
        <w:t>依法依规</w:t>
      </w:r>
      <w:r>
        <w:rPr>
          <w:rFonts w:hint="eastAsia" w:ascii="仿宋_GB2312" w:hAnsi="仿宋_GB2312" w:eastAsia="仿宋_GB2312" w:cs="仿宋_GB2312"/>
          <w:sz w:val="32"/>
          <w:szCs w:val="32"/>
          <w:highlight w:val="none"/>
        </w:rPr>
        <w:t>建立“谁生产、经营，谁回收”的有效回收机制，使农药生产者、经营者和使用者能够更好履行回收处理义务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充分利用互联网技术和信息化手段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做好回收处理全过程溯源管理。</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要鼓励和支持行业协会发挥组织协调、技术指导、提供服务等作用，鼓励和扶持专业化服务机构开展回收、运输、贮存等服务。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　（四）理顺处理环节，畅通回收处理体系。</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做好回收和处理的衔接，确保回收的农药包装废弃物能得到及时处理，回收体系能有效运转。要加大资金投入，鼓励和支持对农药包装废弃物进行资源化利用。可资源化利用的农药包装废弃物要按照“风险可控、定点定向、全程追溯”的原则，</w:t>
      </w:r>
      <w:r>
        <w:rPr>
          <w:rFonts w:hint="eastAsia" w:ascii="仿宋_GB2312" w:hAnsi="仿宋_GB2312" w:eastAsia="仿宋_GB2312" w:cs="仿宋_GB2312"/>
          <w:sz w:val="32"/>
          <w:szCs w:val="32"/>
          <w:highlight w:val="none"/>
          <w:lang w:eastAsia="zh-CN"/>
        </w:rPr>
        <w:t>按要求</w:t>
      </w:r>
      <w:r>
        <w:rPr>
          <w:rFonts w:hint="eastAsia" w:ascii="仿宋_GB2312" w:hAnsi="仿宋_GB2312" w:eastAsia="仿宋_GB2312" w:cs="仿宋_GB2312"/>
          <w:sz w:val="32"/>
          <w:szCs w:val="32"/>
          <w:highlight w:val="none"/>
        </w:rPr>
        <w:t>运送至由省农业农村厅会同生态环境厅公布的资源化利用单位开展资源化利用。</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要鼓励和支持农药包装废弃物的资源化利用，资源化利用率也将作为评价</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回收处理工作的重要指标。2021年已回收可资源化利用农药包装废弃物的资源化利用率不低于20%，并逐年提高。</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要做好与当地环卫等部门的协调，及时组织</w:t>
      </w:r>
      <w:r>
        <w:rPr>
          <w:rFonts w:hint="eastAsia" w:ascii="仿宋_GB2312" w:hAnsi="仿宋_GB2312" w:eastAsia="仿宋_GB2312" w:cs="仿宋_GB2312"/>
          <w:sz w:val="32"/>
          <w:szCs w:val="32"/>
          <w:highlight w:val="none"/>
          <w:lang w:eastAsia="zh-CN"/>
        </w:rPr>
        <w:t>辖区农药经营和生产的回收主体</w:t>
      </w:r>
      <w:r>
        <w:rPr>
          <w:rFonts w:hint="eastAsia" w:ascii="仿宋_GB2312" w:hAnsi="仿宋_GB2312" w:eastAsia="仿宋_GB2312" w:cs="仿宋_GB2312"/>
          <w:sz w:val="32"/>
          <w:szCs w:val="32"/>
          <w:highlight w:val="none"/>
        </w:rPr>
        <w:t>将非资源化利用的农药包装废弃物送至生活垃圾填埋场填埋或生活垃圾焚烧厂焚烧。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（五）加强宣传培训，提高农药包装废弃物回收率。</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充分利用网络、电视、广播、报刊、微信等媒介，采取多种形式，广泛开展农药包装废弃物回收处理的宣传和教育，让广大人民群众了解农药包装废弃物的危害，提高主动回收处理的法律责任意识。要充分利用新型职业农民培训等培训班，教育引导农药使用者在配药时将农药包装物清洗后分类交回农药经营者，指导农药生产者、经营者以及专业化服务机构等科学开展农药包装废弃物回收处理，不断提高回收率。同时鼓励倡导农药生产者改进农药包装，使用易资源化利用和易处置包装物、水溶性高分子包装物或者在环境中可降解的包装物，鼓励使用便于回收的大容量包装物，逐步淘汰铝箔等非资源化利用的包装物。积极推广统防统治和绿色防控，进一步提高覆盖率，从源头上减少农药使用和包装废弃物的产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（六）加强监督管理，依法查处违法违规行为。</w:t>
      </w:r>
      <w:r>
        <w:rPr>
          <w:rFonts w:hint="eastAsia" w:ascii="仿宋_GB2312" w:hAnsi="仿宋_GB2312" w:eastAsia="仿宋_GB2312" w:cs="仿宋_GB2312"/>
          <w:sz w:val="32"/>
          <w:szCs w:val="32"/>
          <w:highlight w:val="none"/>
          <w:lang w:eastAsia="zh-CN"/>
        </w:rPr>
        <w:t>区农业农村部门不定期开展农药包装废弃物回收处理工作检查督导。各镇（街、区）</w:t>
      </w:r>
      <w:r>
        <w:rPr>
          <w:rFonts w:hint="eastAsia" w:ascii="仿宋_GB2312" w:hAnsi="仿宋_GB2312" w:eastAsia="仿宋_GB2312" w:cs="仿宋_GB2312"/>
          <w:sz w:val="32"/>
          <w:szCs w:val="32"/>
          <w:highlight w:val="none"/>
        </w:rPr>
        <w:t>要加强部门间协作，强化对农药生产者、经营者和使用者履行回收处理义务的日常监督与管理，对回收处理过程中的不规范行为要督促整改到位，</w:t>
      </w:r>
      <w:r>
        <w:rPr>
          <w:rFonts w:hint="eastAsia" w:ascii="仿宋_GB2312" w:hAnsi="仿宋_GB2312" w:eastAsia="仿宋_GB2312" w:cs="仿宋_GB2312"/>
          <w:sz w:val="32"/>
          <w:szCs w:val="32"/>
          <w:highlight w:val="none"/>
          <w:lang w:eastAsia="zh-CN"/>
        </w:rPr>
        <w:t>发现疑似危废违法犯罪行为及时通报生态环境和公安部门，</w:t>
      </w:r>
      <w:r>
        <w:rPr>
          <w:rFonts w:hint="eastAsia" w:ascii="仿宋_GB2312" w:hAnsi="仿宋_GB2312" w:eastAsia="仿宋_GB2312" w:cs="仿宋_GB2312"/>
          <w:sz w:val="32"/>
          <w:szCs w:val="32"/>
          <w:highlight w:val="none"/>
        </w:rPr>
        <w:t>对违法违规行为要依法查处，及时公布一批典型违法案件，并将相关执法信息录入广东省农药数字监管平台生产经营单位的信用档案，切实增强各回收处理主体的守法意识，确保回收处理工作顺利推进。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b w:val="0"/>
          <w:bCs w:val="0"/>
          <w:sz w:val="32"/>
          <w:szCs w:val="32"/>
          <w:highlight w:val="none"/>
        </w:rPr>
        <w:t>三、工作要求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（一）加强组织领导，落实各项职责。</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高度重视，加强组织领导，加强部门间的配合，结合实际细化实施方案，将责任落实到具体单位和责任人，结合乡村振兴“美丽田园”行动等统筹推进，同时加大资金投入，通过补贴、优惠等措施支持农药包装废弃物回收、贮存、运输、处置和资源化利用活动，确保农药包装废弃物收得起来、运得出去、处理得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　（二）做好宣传引导，营造良好氛围。</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要加强协作，以多种形式加大宣传力度，要正反结合，既要宣传</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好做法，又要曝光典型违法违规案例，引导全社会积极参与农药包装废弃物回收处理，强化社会共治，营造良好的舆论氛围。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rPr>
        <w:t>（三）加强情况交流，及时上报信息。</w:t>
      </w:r>
      <w:r>
        <w:rPr>
          <w:rFonts w:hint="eastAsia" w:ascii="仿宋_GB2312" w:hAnsi="仿宋_GB2312" w:eastAsia="仿宋_GB2312" w:cs="仿宋_GB2312"/>
          <w:sz w:val="32"/>
          <w:szCs w:val="32"/>
          <w:highlight w:val="none"/>
          <w:lang w:eastAsia="zh-CN"/>
        </w:rPr>
        <w:t>各镇（街、区）</w:t>
      </w:r>
      <w:r>
        <w:rPr>
          <w:rFonts w:hint="eastAsia" w:ascii="仿宋_GB2312" w:hAnsi="仿宋_GB2312" w:eastAsia="仿宋_GB2312" w:cs="仿宋_GB2312"/>
          <w:sz w:val="32"/>
          <w:szCs w:val="32"/>
          <w:highlight w:val="none"/>
        </w:rPr>
        <w:t>在农药包装废弃物的回收处理工作中，要加强沟通交流，及时协调解决工作推进中出现的问题。每年6月20日、12月20日前上报农药包装废弃物产生量、回收量和处理量等情况（见附件），每年12月20日前要将回收处理工作总结报送至</w:t>
      </w:r>
      <w:r>
        <w:rPr>
          <w:rFonts w:hint="eastAsia" w:ascii="仿宋_GB2312" w:hAnsi="仿宋_GB2312" w:eastAsia="仿宋_GB2312" w:cs="仿宋_GB2312"/>
          <w:sz w:val="32"/>
          <w:szCs w:val="32"/>
          <w:highlight w:val="none"/>
          <w:lang w:eastAsia="zh-CN"/>
        </w:rPr>
        <w:t>区农业农村局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种植业管理股</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附件：农药包装废弃物回收处理情况统计表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highlight w:val="none"/>
        </w:rPr>
      </w:pPr>
    </w:p>
    <w:p>
      <w:pPr>
        <w:pStyle w:val="2"/>
        <w:jc w:val="both"/>
        <w:rPr>
          <w:rFonts w:hint="eastAsia"/>
          <w:highlight w:val="none"/>
        </w:rPr>
      </w:pPr>
    </w:p>
    <w:p>
      <w:pPr>
        <w:pStyle w:val="2"/>
        <w:jc w:val="both"/>
        <w:rPr>
          <w:rFonts w:hint="eastAsia"/>
          <w:highlight w:val="none"/>
        </w:rPr>
        <w:sectPr>
          <w:pgSz w:w="11906" w:h="16838"/>
          <w:pgMar w:top="1701" w:right="1587" w:bottom="1417" w:left="1587" w:header="851" w:footer="992" w:gutter="0"/>
          <w:cols w:space="425" w:num="1"/>
          <w:docGrid w:type="lines" w:linePitch="312" w:charSpace="0"/>
        </w:sectPr>
      </w:pPr>
    </w:p>
    <w:p>
      <w:pPr>
        <w:adjustRightInd w:val="0"/>
        <w:snapToGrid w:val="0"/>
        <w:spacing w:beforeLines="0" w:afterLines="0" w:line="590" w:lineRule="exact"/>
        <w:jc w:val="left"/>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附件：</w:t>
      </w:r>
    </w:p>
    <w:p>
      <w:pPr>
        <w:pStyle w:val="4"/>
        <w:keepNext w:val="0"/>
        <w:keepLines w:val="0"/>
        <w:adjustRightInd w:val="0"/>
        <w:snapToGrid w:val="0"/>
        <w:spacing w:before="0" w:beforeLines="0" w:after="0" w:afterLines="0" w:line="590" w:lineRule="exact"/>
        <w:jc w:val="center"/>
        <w:rPr>
          <w:rFonts w:hint="eastAsia" w:ascii="方正小标宋简体" w:eastAsia="方正小标宋简体"/>
          <w:b w:val="0"/>
          <w:bCs w:val="0"/>
          <w:color w:val="auto"/>
          <w:sz w:val="44"/>
          <w:szCs w:val="44"/>
          <w:highlight w:val="none"/>
          <w:lang w:eastAsia="zh-CN"/>
        </w:rPr>
      </w:pPr>
      <w:r>
        <w:rPr>
          <w:rFonts w:hint="eastAsia" w:ascii="方正小标宋简体" w:eastAsia="方正小标宋简体"/>
          <w:b w:val="0"/>
          <w:bCs w:val="0"/>
          <w:color w:val="auto"/>
          <w:sz w:val="44"/>
          <w:szCs w:val="44"/>
          <w:highlight w:val="none"/>
          <w:lang w:eastAsia="zh-CN"/>
        </w:rPr>
        <w:t>农药包装废弃物回收处理情况统计表</w:t>
      </w:r>
    </w:p>
    <w:p>
      <w:pPr>
        <w:adjustRightInd w:val="0"/>
        <w:snapToGrid w:val="0"/>
        <w:spacing w:beforeLines="0" w:afterLines="0" w:line="590" w:lineRule="exact"/>
        <w:rPr>
          <w:rFonts w:hint="default" w:ascii="Calibri" w:eastAsia="宋体"/>
          <w:b w:val="0"/>
          <w:bCs w:val="0"/>
          <w:color w:val="auto"/>
          <w:sz w:val="32"/>
          <w:szCs w:val="20"/>
          <w:highlight w:val="none"/>
          <w:lang w:eastAsia="zh-CN"/>
        </w:rPr>
      </w:pPr>
    </w:p>
    <w:p>
      <w:pPr>
        <w:ind w:firstLine="240" w:firstLineChars="1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填报单位（盖章）：</w:t>
      </w:r>
      <w:r>
        <w:rPr>
          <w:rFonts w:hint="eastAsia" w:ascii="仿宋_GB2312" w:hAnsi="仿宋_GB2312" w:eastAsia="仿宋_GB2312" w:cs="仿宋_GB2312"/>
          <w:color w:val="auto"/>
          <w:sz w:val="24"/>
          <w:szCs w:val="24"/>
          <w:highlight w:val="none"/>
          <w:lang w:val="en-US" w:eastAsia="zh-CN"/>
        </w:rPr>
        <w:t xml:space="preserve">                 填报人及电话：                              填报时间：</w:t>
      </w:r>
    </w:p>
    <w:tbl>
      <w:tblPr>
        <w:tblStyle w:val="10"/>
        <w:tblW w:w="13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1263"/>
        <w:gridCol w:w="1266"/>
        <w:gridCol w:w="1264"/>
        <w:gridCol w:w="1265"/>
        <w:gridCol w:w="1263"/>
        <w:gridCol w:w="1266"/>
        <w:gridCol w:w="1265"/>
        <w:gridCol w:w="126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228" w:type="dxa"/>
            <w:tcBorders>
              <w:top w:val="single" w:color="auto" w:sz="4" w:space="0"/>
            </w:tcBorders>
            <w:noWrap w:val="0"/>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79" w:afterLines="0" w:line="240" w:lineRule="auto"/>
              <w:ind w:left="107" w:leftChars="0" w:right="0" w:rightChars="0" w:firstLine="0" w:firstLineChars="0"/>
              <w:jc w:val="center"/>
              <w:textAlignment w:val="auto"/>
              <w:outlineLvl w:val="9"/>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镇（街、区）</w:t>
            </w:r>
          </w:p>
        </w:tc>
        <w:tc>
          <w:tcPr>
            <w:tcW w:w="1263" w:type="dxa"/>
            <w:tcBorders>
              <w:top w:val="single" w:color="auto" w:sz="4" w:space="0"/>
            </w:tcBorders>
            <w:noWrap w:val="0"/>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79" w:afterLines="0" w:line="240" w:lineRule="auto"/>
              <w:ind w:left="108" w:leftChars="0" w:right="0" w:rightChars="0" w:firstLine="0" w:firstLineChars="0"/>
              <w:jc w:val="center"/>
              <w:textAlignment w:val="auto"/>
              <w:outlineLvl w:val="9"/>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产生量（吨）</w:t>
            </w: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回收量（吨）</w:t>
            </w:r>
          </w:p>
        </w:tc>
        <w:tc>
          <w:tcPr>
            <w:tcW w:w="1264" w:type="dxa"/>
            <w:tcBorders>
              <w:top w:val="single" w:color="auto" w:sz="4" w:space="0"/>
            </w:tcBorders>
            <w:noWrap w:val="0"/>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79" w:afterLines="0" w:line="240" w:lineRule="auto"/>
              <w:ind w:left="108" w:leftChars="0" w:right="0" w:rightChars="0" w:firstLine="0" w:firstLineChars="0"/>
              <w:jc w:val="center"/>
              <w:textAlignment w:val="auto"/>
              <w:outlineLvl w:val="9"/>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回收率（</w:t>
            </w:r>
            <w:r>
              <w:rPr>
                <w:rFonts w:hint="eastAsia" w:ascii="黑体" w:hAnsi="黑体" w:eastAsia="黑体" w:cs="黑体"/>
                <w:b w:val="0"/>
                <w:bCs w:val="0"/>
                <w:color w:val="auto"/>
                <w:sz w:val="21"/>
                <w:szCs w:val="21"/>
                <w:highlight w:val="none"/>
                <w:lang w:val="en-US" w:eastAsia="zh-CN"/>
              </w:rPr>
              <w:t>%</w:t>
            </w:r>
            <w:r>
              <w:rPr>
                <w:rFonts w:hint="eastAsia" w:ascii="黑体" w:hAnsi="黑体" w:eastAsia="黑体" w:cs="黑体"/>
                <w:b w:val="0"/>
                <w:bCs w:val="0"/>
                <w:color w:val="auto"/>
                <w:sz w:val="21"/>
                <w:szCs w:val="21"/>
                <w:highlight w:val="none"/>
                <w:lang w:eastAsia="zh-CN"/>
              </w:rPr>
              <w:t>）</w:t>
            </w:r>
          </w:p>
        </w:tc>
        <w:tc>
          <w:tcPr>
            <w:tcW w:w="1265"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处理量（吨）</w:t>
            </w:r>
          </w:p>
        </w:tc>
        <w:tc>
          <w:tcPr>
            <w:tcW w:w="1263"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处理率（%）</w:t>
            </w: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可资源化利用回收量（吨）</w:t>
            </w:r>
          </w:p>
        </w:tc>
        <w:tc>
          <w:tcPr>
            <w:tcW w:w="1265" w:type="dxa"/>
            <w:tcBorders>
              <w:top w:val="single" w:color="auto" w:sz="4" w:space="0"/>
            </w:tcBorders>
            <w:noWrap w:val="0"/>
            <w:vAlign w:val="center"/>
          </w:tcPr>
          <w:p>
            <w:pPr>
              <w:pStyle w:val="16"/>
              <w:adjustRightInd w:val="0"/>
              <w:snapToGrid w:val="0"/>
              <w:spacing w:before="79" w:beforeLines="0" w:afterLines="0"/>
              <w:ind w:left="0" w:left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资源化利用量（吨）</w:t>
            </w: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资源化利用率（</w:t>
            </w:r>
            <w:r>
              <w:rPr>
                <w:rFonts w:hint="eastAsia" w:ascii="黑体" w:hAnsi="黑体" w:eastAsia="黑体" w:cs="黑体"/>
                <w:b w:val="0"/>
                <w:bCs w:val="0"/>
                <w:color w:val="auto"/>
                <w:sz w:val="21"/>
                <w:szCs w:val="21"/>
                <w:highlight w:val="none"/>
                <w:lang w:val="en-US" w:eastAsia="zh-CN"/>
              </w:rPr>
              <w:t>%</w:t>
            </w:r>
            <w:r>
              <w:rPr>
                <w:rFonts w:hint="eastAsia" w:ascii="黑体" w:hAnsi="黑体" w:eastAsia="黑体" w:cs="黑体"/>
                <w:b w:val="0"/>
                <w:bCs w:val="0"/>
                <w:color w:val="auto"/>
                <w:sz w:val="21"/>
                <w:szCs w:val="21"/>
                <w:highlight w:val="none"/>
                <w:lang w:eastAsia="zh-CN"/>
              </w:rPr>
              <w:t>）</w:t>
            </w:r>
          </w:p>
        </w:tc>
        <w:tc>
          <w:tcPr>
            <w:tcW w:w="2214"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回收主体名称和</w:t>
            </w:r>
          </w:p>
          <w:p>
            <w:pPr>
              <w:pStyle w:val="16"/>
              <w:adjustRightInd w:val="0"/>
              <w:snapToGrid w:val="0"/>
              <w:spacing w:before="79" w:beforeLines="0" w:afterLines="0"/>
              <w:ind w:left="107" w:left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228"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3"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4"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eastAsia="zh-CN"/>
              </w:rPr>
            </w:pPr>
          </w:p>
        </w:tc>
        <w:tc>
          <w:tcPr>
            <w:tcW w:w="1263"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eastAsia="zh-CN"/>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5"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2214"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228"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3"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4"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eastAsia="zh-CN"/>
              </w:rPr>
            </w:pPr>
          </w:p>
        </w:tc>
        <w:tc>
          <w:tcPr>
            <w:tcW w:w="1263"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5"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bookmarkStart w:id="0" w:name="_GoBack"/>
            <w:bookmarkEnd w:id="0"/>
          </w:p>
        </w:tc>
        <w:tc>
          <w:tcPr>
            <w:tcW w:w="2214"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228"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3"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lang w:eastAsia="zh-CN"/>
              </w:rPr>
            </w:pPr>
          </w:p>
        </w:tc>
        <w:tc>
          <w:tcPr>
            <w:tcW w:w="1264"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lang w:eastAsia="zh-CN"/>
              </w:rPr>
            </w:pPr>
          </w:p>
        </w:tc>
        <w:tc>
          <w:tcPr>
            <w:tcW w:w="1263" w:type="dxa"/>
            <w:tcBorders>
              <w:top w:val="single" w:color="auto" w:sz="4" w:space="0"/>
            </w:tcBorders>
            <w:noWrap w:val="0"/>
            <w:vAlign w:val="center"/>
          </w:tcPr>
          <w:p>
            <w:pPr>
              <w:pStyle w:val="16"/>
              <w:adjustRightInd w:val="0"/>
              <w:snapToGrid w:val="0"/>
              <w:spacing w:before="79" w:beforeLines="0" w:afterLine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5"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c>
          <w:tcPr>
            <w:tcW w:w="2214" w:type="dxa"/>
            <w:tcBorders>
              <w:top w:val="single" w:color="auto" w:sz="4" w:space="0"/>
            </w:tcBorders>
            <w:noWrap w:val="0"/>
            <w:vAlign w:val="center"/>
          </w:tcPr>
          <w:p>
            <w:pPr>
              <w:pStyle w:val="16"/>
              <w:adjustRightInd w:val="0"/>
              <w:snapToGrid w:val="0"/>
              <w:spacing w:before="79" w:beforeLines="0" w:afterLines="0"/>
              <w:ind w:left="107" w:leftChars="0"/>
              <w:jc w:val="center"/>
              <w:rPr>
                <w:rFonts w:hint="eastAsia" w:ascii="黑体" w:hAnsi="黑体" w:eastAsia="黑体" w:cs="黑体"/>
                <w:b w:val="0"/>
                <w:bCs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228"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3"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lang w:eastAsia="zh-CN"/>
              </w:rPr>
            </w:pPr>
          </w:p>
        </w:tc>
        <w:tc>
          <w:tcPr>
            <w:tcW w:w="1264" w:type="dxa"/>
            <w:tcBorders>
              <w:top w:val="single" w:color="auto" w:sz="4" w:space="0"/>
            </w:tcBorders>
            <w:noWrap w:val="0"/>
            <w:vAlign w:val="center"/>
          </w:tcPr>
          <w:p>
            <w:pPr>
              <w:pStyle w:val="16"/>
              <w:adjustRightInd w:val="0"/>
              <w:snapToGrid w:val="0"/>
              <w:spacing w:before="79" w:afterLines="0"/>
              <w:jc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pStyle w:val="16"/>
              <w:adjustRightInd w:val="0"/>
              <w:snapToGrid w:val="0"/>
              <w:spacing w:before="79" w:afterLines="0"/>
              <w:jc w:val="center"/>
              <w:rPr>
                <w:rFonts w:hint="eastAsia" w:ascii="黑体" w:hAnsi="黑体" w:eastAsia="黑体" w:cs="黑体"/>
                <w:b w:val="0"/>
                <w:bCs w:val="0"/>
                <w:sz w:val="21"/>
                <w:szCs w:val="21"/>
                <w:highlight w:val="none"/>
                <w:lang w:eastAsia="zh-CN"/>
              </w:rPr>
            </w:pPr>
          </w:p>
        </w:tc>
        <w:tc>
          <w:tcPr>
            <w:tcW w:w="1263" w:type="dxa"/>
            <w:tcBorders>
              <w:top w:val="single" w:color="auto" w:sz="4" w:space="0"/>
            </w:tcBorders>
            <w:noWrap w:val="0"/>
            <w:vAlign w:val="center"/>
          </w:tcPr>
          <w:p>
            <w:pPr>
              <w:pStyle w:val="16"/>
              <w:adjustRightInd w:val="0"/>
              <w:snapToGrid w:val="0"/>
              <w:spacing w:before="79" w:afterLine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rPr>
            </w:pPr>
          </w:p>
        </w:tc>
        <w:tc>
          <w:tcPr>
            <w:tcW w:w="1265"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rPr>
            </w:pPr>
          </w:p>
        </w:tc>
        <w:tc>
          <w:tcPr>
            <w:tcW w:w="1266"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rPr>
            </w:pPr>
          </w:p>
        </w:tc>
        <w:tc>
          <w:tcPr>
            <w:tcW w:w="2214" w:type="dxa"/>
            <w:tcBorders>
              <w:top w:val="single" w:color="auto" w:sz="4" w:space="0"/>
            </w:tcBorders>
            <w:noWrap w:val="0"/>
            <w:vAlign w:val="center"/>
          </w:tcPr>
          <w:p>
            <w:pPr>
              <w:pStyle w:val="16"/>
              <w:adjustRightInd w:val="0"/>
              <w:snapToGrid w:val="0"/>
              <w:spacing w:before="79" w:afterLines="0"/>
              <w:ind w:left="107" w:leftChars="0"/>
              <w:jc w:val="center"/>
              <w:rPr>
                <w:rFonts w:hint="eastAsia" w:ascii="黑体" w:hAnsi="黑体" w:eastAsia="黑体" w:cs="黑体"/>
                <w:b w:val="0"/>
                <w:bCs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228"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全区合计</w:t>
            </w:r>
          </w:p>
        </w:tc>
        <w:tc>
          <w:tcPr>
            <w:tcW w:w="1263"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6"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4"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3"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6"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5"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1266"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c>
          <w:tcPr>
            <w:tcW w:w="2214" w:type="dxa"/>
            <w:tcBorders>
              <w:top w:val="single" w:color="auto" w:sz="4" w:space="0"/>
            </w:tcBorders>
            <w:noWrap w:val="0"/>
            <w:vAlign w:val="center"/>
          </w:tcPr>
          <w:p>
            <w:pPr>
              <w:keepNext w:val="0"/>
              <w:keepLines w:val="0"/>
              <w:widowControl w:val="0"/>
              <w:suppressLineNumbers w:val="0"/>
              <w:adjustRightInd w:val="0"/>
              <w:snapToGrid w:val="0"/>
              <w:spacing w:afterLines="0"/>
              <w:jc w:val="center"/>
              <w:textAlignment w:val="center"/>
              <w:rPr>
                <w:rFonts w:hint="eastAsia" w:ascii="黑体" w:hAnsi="黑体" w:eastAsia="黑体" w:cs="黑体"/>
                <w:b w:val="0"/>
                <w:bCs w:val="0"/>
                <w:sz w:val="21"/>
                <w:szCs w:val="21"/>
                <w:highlight w:val="none"/>
                <w:lang w:val="en-US" w:eastAsia="zh-CN"/>
              </w:rPr>
            </w:pPr>
          </w:p>
        </w:tc>
      </w:tr>
    </w:tbl>
    <w:p>
      <w:pPr>
        <w:adjustRightInd w:val="0"/>
        <w:snapToGrid w:val="0"/>
        <w:spacing w:beforeLines="0" w:afterLines="0" w:line="420" w:lineRule="exact"/>
        <w:ind w:firstLine="0" w:firstLineChars="0"/>
        <w:rPr>
          <w:rFonts w:hint="eastAsia" w:ascii="仿宋_GB2312" w:hAnsi="仿宋_GB2312" w:eastAsia="仿宋_GB2312" w:cs="仿宋_GB2312"/>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eastAsia="zh-CN"/>
        </w:rPr>
        <w:t>备注：</w:t>
      </w:r>
      <w:r>
        <w:rPr>
          <w:rFonts w:hint="eastAsia" w:ascii="仿宋_GB2312" w:hAnsi="仿宋_GB2312" w:eastAsia="仿宋_GB2312" w:cs="仿宋_GB2312"/>
          <w:b w:val="0"/>
          <w:bCs w:val="0"/>
          <w:color w:val="auto"/>
          <w:sz w:val="21"/>
          <w:szCs w:val="21"/>
          <w:highlight w:val="none"/>
          <w:lang w:val="en-US" w:eastAsia="zh-CN"/>
        </w:rPr>
        <w:t>每年6月20日、12月20日前上报当年度数据，</w:t>
      </w:r>
      <w:r>
        <w:rPr>
          <w:rFonts w:hint="eastAsia" w:ascii="仿宋_GB2312" w:hAnsi="仿宋_GB2312" w:eastAsia="仿宋_GB2312" w:cs="仿宋_GB2312"/>
          <w:b w:val="0"/>
          <w:bCs w:val="0"/>
          <w:color w:val="auto"/>
          <w:sz w:val="21"/>
          <w:szCs w:val="21"/>
          <w:highlight w:val="none"/>
          <w:lang w:eastAsia="zh-CN"/>
        </w:rPr>
        <w:t>小数点后保留</w:t>
      </w:r>
      <w:r>
        <w:rPr>
          <w:rFonts w:hint="eastAsia" w:ascii="仿宋_GB2312" w:hAnsi="仿宋_GB2312" w:eastAsia="仿宋_GB2312" w:cs="仿宋_GB2312"/>
          <w:b w:val="0"/>
          <w:bCs w:val="0"/>
          <w:color w:val="auto"/>
          <w:sz w:val="21"/>
          <w:szCs w:val="21"/>
          <w:highlight w:val="none"/>
          <w:lang w:val="en-US" w:eastAsia="zh-CN"/>
        </w:rPr>
        <w:t>2位，不足0.01的可保留3位；产生量按照农药使用量的10%进行折算统计，</w:t>
      </w:r>
    </w:p>
    <w:p>
      <w:pPr>
        <w:adjustRightInd w:val="0"/>
        <w:snapToGrid w:val="0"/>
        <w:spacing w:line="420" w:lineRule="exact"/>
        <w:ind w:left="639" w:leftChars="196" w:hanging="12" w:hangingChars="6"/>
        <w:rPr>
          <w:highlight w:val="none"/>
        </w:rPr>
      </w:pPr>
      <w:r>
        <w:rPr>
          <w:rFonts w:hint="eastAsia" w:ascii="仿宋_GB2312" w:hAnsi="仿宋_GB2312" w:eastAsia="仿宋_GB2312" w:cs="仿宋_GB2312"/>
          <w:b w:val="0"/>
          <w:bCs w:val="0"/>
          <w:color w:val="auto"/>
          <w:sz w:val="21"/>
          <w:szCs w:val="21"/>
          <w:highlight w:val="none"/>
          <w:lang w:val="en-US" w:eastAsia="zh-CN"/>
        </w:rPr>
        <w:t>回收率（%）=回收量/产生量×100，处理率（%）=处理量/回收量×100，资源化利用率（%）=资源化利用量/可资源化利用回收量×100。</w:t>
      </w:r>
    </w:p>
    <w:p>
      <w:pPr>
        <w:rPr>
          <w:rFonts w:hint="eastAsia" w:ascii="仿宋" w:hAnsi="仿宋" w:eastAsia="仿宋" w:cs="仿宋"/>
          <w:sz w:val="32"/>
          <w:szCs w:val="32"/>
          <w:highlight w:val="none"/>
        </w:rPr>
      </w:pPr>
    </w:p>
    <w:p>
      <w:pPr>
        <w:tabs>
          <w:tab w:val="left" w:pos="3504"/>
        </w:tabs>
        <w:bidi w:val="0"/>
        <w:jc w:val="left"/>
        <w:rPr>
          <w:rFonts w:hint="eastAsia" w:ascii="宋体" w:hAnsi="宋体" w:eastAsia="仿宋" w:cs="Times New Roman"/>
          <w:kern w:val="2"/>
          <w:sz w:val="32"/>
          <w:szCs w:val="22"/>
          <w:lang w:val="en-US" w:eastAsia="zh-CN" w:bidi="ar-SA"/>
        </w:rPr>
      </w:pPr>
    </w:p>
    <w:sectPr>
      <w:pgSz w:w="16838" w:h="11906" w:orient="landscape"/>
      <w:pgMar w:top="1587" w:right="1701" w:bottom="1587" w:left="1417"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rPr>
    </w:pPr>
    <w:r>
      <w:rPr>
        <w:sz w:val="28"/>
      </w:rPr>
      <w:pict>
        <v:shape id="_x0000_s2057" o:spid="_x0000_s2057" o:spt="202" type="#_x0000_t202" style="position:absolute;left:0pt;margin-top:-1.5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6" o:spid="_x0000_s2056" o:spt="202" type="#_x0000_t202" style="position:absolute;left:0pt;margin-top:-1.5pt;height:20.7pt;width:8.7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169A0"/>
    <w:rsid w:val="00024431"/>
    <w:rsid w:val="000811F5"/>
    <w:rsid w:val="00095A31"/>
    <w:rsid w:val="000B4430"/>
    <w:rsid w:val="000C4D3D"/>
    <w:rsid w:val="000E5B6E"/>
    <w:rsid w:val="000F1B41"/>
    <w:rsid w:val="00100C81"/>
    <w:rsid w:val="001034DB"/>
    <w:rsid w:val="00103867"/>
    <w:rsid w:val="00106E10"/>
    <w:rsid w:val="00106FB6"/>
    <w:rsid w:val="00114A7F"/>
    <w:rsid w:val="00115C19"/>
    <w:rsid w:val="001379FE"/>
    <w:rsid w:val="00142BA2"/>
    <w:rsid w:val="001602E6"/>
    <w:rsid w:val="00166A58"/>
    <w:rsid w:val="00170B8E"/>
    <w:rsid w:val="001772F3"/>
    <w:rsid w:val="0019493D"/>
    <w:rsid w:val="001C08C6"/>
    <w:rsid w:val="001C0AF5"/>
    <w:rsid w:val="001E289F"/>
    <w:rsid w:val="001E313A"/>
    <w:rsid w:val="0020568D"/>
    <w:rsid w:val="00213774"/>
    <w:rsid w:val="0022257C"/>
    <w:rsid w:val="002446C0"/>
    <w:rsid w:val="00250E75"/>
    <w:rsid w:val="002532EB"/>
    <w:rsid w:val="002C4A49"/>
    <w:rsid w:val="00307089"/>
    <w:rsid w:val="00345B67"/>
    <w:rsid w:val="0036046B"/>
    <w:rsid w:val="003955EA"/>
    <w:rsid w:val="003A2189"/>
    <w:rsid w:val="003A28B2"/>
    <w:rsid w:val="003C485B"/>
    <w:rsid w:val="003D6247"/>
    <w:rsid w:val="003E0D8B"/>
    <w:rsid w:val="003E5E3B"/>
    <w:rsid w:val="003F6038"/>
    <w:rsid w:val="00403BC0"/>
    <w:rsid w:val="00411B8B"/>
    <w:rsid w:val="00413902"/>
    <w:rsid w:val="00460A3F"/>
    <w:rsid w:val="00460B25"/>
    <w:rsid w:val="004730B7"/>
    <w:rsid w:val="00476A55"/>
    <w:rsid w:val="00481B9B"/>
    <w:rsid w:val="004A0018"/>
    <w:rsid w:val="004C2140"/>
    <w:rsid w:val="004C2436"/>
    <w:rsid w:val="004D0BAD"/>
    <w:rsid w:val="004E6879"/>
    <w:rsid w:val="004F4671"/>
    <w:rsid w:val="004F5424"/>
    <w:rsid w:val="005051DF"/>
    <w:rsid w:val="0054409C"/>
    <w:rsid w:val="0055618B"/>
    <w:rsid w:val="00557F7F"/>
    <w:rsid w:val="005838B1"/>
    <w:rsid w:val="005B0EF3"/>
    <w:rsid w:val="005F53B2"/>
    <w:rsid w:val="0060544D"/>
    <w:rsid w:val="0067018E"/>
    <w:rsid w:val="006956FD"/>
    <w:rsid w:val="006A1FE8"/>
    <w:rsid w:val="006B51AB"/>
    <w:rsid w:val="006D5BE8"/>
    <w:rsid w:val="006D65A3"/>
    <w:rsid w:val="006E325F"/>
    <w:rsid w:val="006F329B"/>
    <w:rsid w:val="00720828"/>
    <w:rsid w:val="00727257"/>
    <w:rsid w:val="007635BF"/>
    <w:rsid w:val="007A0FEC"/>
    <w:rsid w:val="007E0359"/>
    <w:rsid w:val="007E1492"/>
    <w:rsid w:val="00810CBD"/>
    <w:rsid w:val="00825535"/>
    <w:rsid w:val="00865168"/>
    <w:rsid w:val="008676E9"/>
    <w:rsid w:val="00875BF3"/>
    <w:rsid w:val="008E5A99"/>
    <w:rsid w:val="008F0552"/>
    <w:rsid w:val="008F4328"/>
    <w:rsid w:val="008F5124"/>
    <w:rsid w:val="0090241C"/>
    <w:rsid w:val="00914689"/>
    <w:rsid w:val="0094799A"/>
    <w:rsid w:val="00963536"/>
    <w:rsid w:val="00984CEB"/>
    <w:rsid w:val="009938B8"/>
    <w:rsid w:val="009B2925"/>
    <w:rsid w:val="009E07ED"/>
    <w:rsid w:val="00A142A7"/>
    <w:rsid w:val="00A3468F"/>
    <w:rsid w:val="00A53183"/>
    <w:rsid w:val="00A842BD"/>
    <w:rsid w:val="00A90098"/>
    <w:rsid w:val="00AB3D14"/>
    <w:rsid w:val="00AF4FF6"/>
    <w:rsid w:val="00B05333"/>
    <w:rsid w:val="00B176E7"/>
    <w:rsid w:val="00B51276"/>
    <w:rsid w:val="00B81943"/>
    <w:rsid w:val="00B861FD"/>
    <w:rsid w:val="00BF3A59"/>
    <w:rsid w:val="00C006CE"/>
    <w:rsid w:val="00C12F1A"/>
    <w:rsid w:val="00C464F7"/>
    <w:rsid w:val="00C543FA"/>
    <w:rsid w:val="00C7192A"/>
    <w:rsid w:val="00C75745"/>
    <w:rsid w:val="00C80F63"/>
    <w:rsid w:val="00C84D4C"/>
    <w:rsid w:val="00C973ED"/>
    <w:rsid w:val="00CA4B14"/>
    <w:rsid w:val="00CD0D31"/>
    <w:rsid w:val="00CD1DEB"/>
    <w:rsid w:val="00CF74ED"/>
    <w:rsid w:val="00D16CB7"/>
    <w:rsid w:val="00D24E37"/>
    <w:rsid w:val="00D33985"/>
    <w:rsid w:val="00D51BA0"/>
    <w:rsid w:val="00D64F6B"/>
    <w:rsid w:val="00D73151"/>
    <w:rsid w:val="00DA779F"/>
    <w:rsid w:val="00DB26A4"/>
    <w:rsid w:val="00DC5E34"/>
    <w:rsid w:val="00DC69C7"/>
    <w:rsid w:val="00DD55D3"/>
    <w:rsid w:val="00DE3E36"/>
    <w:rsid w:val="00E24B91"/>
    <w:rsid w:val="00E262BB"/>
    <w:rsid w:val="00E36516"/>
    <w:rsid w:val="00E4313B"/>
    <w:rsid w:val="00E529DC"/>
    <w:rsid w:val="00E569A4"/>
    <w:rsid w:val="00EB0534"/>
    <w:rsid w:val="00EB20B2"/>
    <w:rsid w:val="00EB43B8"/>
    <w:rsid w:val="00EE460A"/>
    <w:rsid w:val="00EF1341"/>
    <w:rsid w:val="00F4346F"/>
    <w:rsid w:val="00F534E9"/>
    <w:rsid w:val="00F66F37"/>
    <w:rsid w:val="00F81B5D"/>
    <w:rsid w:val="00FB0B32"/>
    <w:rsid w:val="00FE6B72"/>
    <w:rsid w:val="00FE7790"/>
    <w:rsid w:val="00FF0236"/>
    <w:rsid w:val="00FF2607"/>
    <w:rsid w:val="066E56B6"/>
    <w:rsid w:val="073A6099"/>
    <w:rsid w:val="0E174DB8"/>
    <w:rsid w:val="150D0B37"/>
    <w:rsid w:val="16461FE1"/>
    <w:rsid w:val="168F7E53"/>
    <w:rsid w:val="17A8645E"/>
    <w:rsid w:val="1E9E7977"/>
    <w:rsid w:val="1FF1529E"/>
    <w:rsid w:val="20E50039"/>
    <w:rsid w:val="220965B0"/>
    <w:rsid w:val="29222108"/>
    <w:rsid w:val="2D7159CB"/>
    <w:rsid w:val="2EAD1DD4"/>
    <w:rsid w:val="2EB71CE9"/>
    <w:rsid w:val="35005BC3"/>
    <w:rsid w:val="3BB532FF"/>
    <w:rsid w:val="3E025771"/>
    <w:rsid w:val="3F154283"/>
    <w:rsid w:val="405107F1"/>
    <w:rsid w:val="481F7D11"/>
    <w:rsid w:val="48FB05C5"/>
    <w:rsid w:val="4AB60411"/>
    <w:rsid w:val="4C631C41"/>
    <w:rsid w:val="4DD546C0"/>
    <w:rsid w:val="4FEA56DC"/>
    <w:rsid w:val="51BC401E"/>
    <w:rsid w:val="5C157755"/>
    <w:rsid w:val="5FD27CC5"/>
    <w:rsid w:val="60B86476"/>
    <w:rsid w:val="63A71B07"/>
    <w:rsid w:val="67694994"/>
    <w:rsid w:val="6AC61565"/>
    <w:rsid w:val="6BCD1D9F"/>
    <w:rsid w:val="6C001500"/>
    <w:rsid w:val="6C1479BD"/>
    <w:rsid w:val="6CC42755"/>
    <w:rsid w:val="6F5978CB"/>
    <w:rsid w:val="712D0008"/>
    <w:rsid w:val="718E4E28"/>
    <w:rsid w:val="73760601"/>
    <w:rsid w:val="751D5EB3"/>
    <w:rsid w:val="7E02106F"/>
    <w:rsid w:val="7E0B28C2"/>
    <w:rsid w:val="7E26757C"/>
    <w:rsid w:val="7E8D7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eastAsia="宋体"/>
      <w:b/>
      <w:kern w:val="44"/>
      <w:sz w:val="48"/>
      <w:szCs w:val="48"/>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line="0" w:lineRule="atLeast"/>
    </w:pPr>
    <w:rPr>
      <w:rFonts w:eastAsia="小标宋"/>
      <w:sz w:val="44"/>
      <w:szCs w:val="32"/>
    </w:rPr>
  </w:style>
  <w:style w:type="paragraph" w:styleId="5">
    <w:name w:val="Plain Text"/>
    <w:basedOn w:val="1"/>
    <w:qFormat/>
    <w:uiPriority w:val="0"/>
    <w:rPr>
      <w:rFonts w:hint="eastAsia" w:hAnsi="Courier New"/>
      <w:szCs w:val="21"/>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customStyle="1" w:styleId="13">
    <w:name w:val="页眉 Char"/>
    <w:link w:val="7"/>
    <w:semiHidden/>
    <w:qFormat/>
    <w:uiPriority w:val="99"/>
    <w:rPr>
      <w:rFonts w:ascii="宋体" w:hAnsi="宋体" w:eastAsia="方正仿宋简体"/>
      <w:sz w:val="18"/>
      <w:szCs w:val="18"/>
    </w:rPr>
  </w:style>
  <w:style w:type="character" w:customStyle="1" w:styleId="14">
    <w:name w:val="页脚 Char"/>
    <w:link w:val="6"/>
    <w:qFormat/>
    <w:uiPriority w:val="99"/>
    <w:rPr>
      <w:rFonts w:ascii="宋体" w:hAnsi="宋体" w:eastAsia="方正仿宋简体"/>
      <w:sz w:val="18"/>
      <w:szCs w:val="18"/>
    </w:rPr>
  </w:style>
  <w:style w:type="character" w:customStyle="1" w:styleId="15">
    <w:name w:val="正文文本 Char"/>
    <w:link w:val="2"/>
    <w:qFormat/>
    <w:uiPriority w:val="0"/>
    <w:rPr>
      <w:rFonts w:ascii="宋体" w:hAnsi="宋体" w:eastAsia="小标宋" w:cs="Times New Roman"/>
      <w:sz w:val="44"/>
      <w:szCs w:val="32"/>
    </w:rPr>
  </w:style>
  <w:style w:type="paragraph" w:customStyle="1" w:styleId="16">
    <w:name w:val="Table Paragraph"/>
    <w:basedOn w:val="1"/>
    <w:qFormat/>
    <w:uiPriority w:val="1"/>
    <w:pPr>
      <w:autoSpaceDE w:val="0"/>
      <w:autoSpaceDN w:val="0"/>
      <w:jc w:val="left"/>
    </w:pPr>
    <w:rPr>
      <w:rFonts w:ascii="仿宋" w:hAnsi="仿宋" w:eastAsia="仿宋" w:cs="仿宋"/>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6"/>
    <customShpInfo spid="_x0000_s1040"/>
    <customShpInfo spid="_x0000_s1036"/>
    <customShpInfo spid="_x0000_s1035"/>
    <customShpInfo spid="_x0000_s1034"/>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3029</Words>
  <Characters>3087</Characters>
  <Lines>2</Lines>
  <Paragraphs>1</Paragraphs>
  <TotalTime>14</TotalTime>
  <ScaleCrop>false</ScaleCrop>
  <LinksUpToDate>false</LinksUpToDate>
  <CharactersWithSpaces>3170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2020-07-14T09:00:00Z</dcterms:created>
  <dc:creator>区农林局收发员</dc:creator>
  <cp:lastModifiedBy>奇洛元维斯</cp:lastModifiedBy>
  <cp:lastPrinted>2022-03-21T08:53:00Z</cp:lastPrinted>
  <dcterms:modified xsi:type="dcterms:W3CDTF">2022-03-23T08:13:29Z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1E0E723F2FBD41588042646815B325BE</vt:lpwstr>
  </property>
</Properties>
</file>