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r>
        <w:rPr>
          <w:rFonts w:hint="eastAsia" w:ascii="黑体" w:hAnsi="黑体" w:eastAsia="黑体"/>
          <w:szCs w:val="32"/>
        </w:rPr>
        <w:t xml:space="preserve"> </w:t>
      </w:r>
    </w:p>
    <w:p>
      <w:pPr>
        <w:spacing w:line="240" w:lineRule="exact"/>
        <w:rPr>
          <w:rFonts w:asciiTheme="minorEastAsia" w:hAnsiTheme="minorEastAsia" w:eastAsiaTheme="minorEastAsia"/>
          <w:szCs w:val="32"/>
        </w:rPr>
      </w:pPr>
    </w:p>
    <w:p>
      <w:pPr>
        <w:rPr>
          <w:rFonts w:ascii="黑体" w:hAnsi="黑体" w:eastAsia="黑体"/>
          <w:szCs w:val="32"/>
        </w:rPr>
      </w:pPr>
    </w:p>
    <w:p>
      <w:pPr>
        <w:rPr>
          <w:rFonts w:ascii="黑体" w:hAnsi="黑体" w:eastAsia="黑体"/>
          <w:szCs w:val="32"/>
        </w:rPr>
      </w:pPr>
    </w:p>
    <w:p>
      <w:pPr>
        <w:spacing w:line="840" w:lineRule="exact"/>
        <w:rPr>
          <w:szCs w:val="32"/>
        </w:rPr>
      </w:pPr>
      <w:r>
        <w:rPr>
          <w:szCs w:val="32"/>
        </w:rPr>
        <w:pict>
          <v:shape id="WJBT" o:spid="_x0000_s1036" o:spt="202" type="#_x0000_t202" style="position:absolute;left:0pt;margin-top:202.65pt;height:104.85pt;width:413.85pt;mso-position-horizontal:center;mso-position-vertical-relative:page;z-index:-251655168;mso-width-relative:page;mso-height-relative:page;" filled="f" stroked="f" coordsize="21600,21600">
            <v:path/>
            <v:fill on="f" focussize="0,0"/>
            <v:stroke on="f" joinstyle="miter"/>
            <v:imagedata o:title=""/>
            <o:lock v:ext="edit"/>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v:textbox>
          </v:shape>
        </w:pict>
      </w:r>
    </w:p>
    <w:p>
      <w:pPr>
        <w:tabs>
          <w:tab w:val="left" w:pos="2212"/>
        </w:tabs>
        <w:rPr>
          <w:szCs w:val="32"/>
        </w:rPr>
      </w:pPr>
    </w:p>
    <w:p>
      <w:pPr>
        <w:spacing w:line="360" w:lineRule="exact"/>
        <w:ind w:right="320" w:rightChars="100"/>
        <w:rPr>
          <w:szCs w:val="32"/>
        </w:rPr>
      </w:pPr>
    </w:p>
    <w:p>
      <w:pPr>
        <w:ind w:right="320" w:rightChars="100"/>
        <w:rPr>
          <w:szCs w:val="32"/>
        </w:rPr>
      </w:pPr>
    </w:p>
    <w:p>
      <w:pPr>
        <w:jc w:val="center"/>
        <w:rPr>
          <w:rFonts w:hint="eastAsia" w:ascii="仿宋_GB2312" w:hAnsi="仿宋_GB2312" w:eastAsia="仿宋_GB2312" w:cs="仿宋_GB2312"/>
          <w:szCs w:val="32"/>
        </w:rPr>
      </w:pPr>
      <w:r>
        <w:rPr>
          <w:rFonts w:hint="eastAsia" w:ascii="仿宋_GB2312" w:hAnsi="仿宋_GB2312" w:eastAsia="仿宋_GB2312" w:cs="仿宋_GB2312"/>
          <w:szCs w:val="32"/>
        </w:rPr>
        <w:t>新农农〔202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87</w:t>
      </w:r>
      <w:r>
        <w:rPr>
          <w:rFonts w:hint="eastAsia" w:ascii="仿宋_GB2312" w:hAnsi="仿宋_GB2312" w:eastAsia="仿宋_GB2312" w:cs="仿宋_GB231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szCs w:val="32"/>
        </w:rPr>
      </w:pPr>
      <w:r>
        <w:rPr>
          <w:szCs w:val="32"/>
        </w:rPr>
        <w:pict>
          <v:shape id="GWXH" o:spid="_x0000_s1035" o:spt="202" type="#_x0000_t202" style="position:absolute;left:0pt;margin-left:-0.05pt;margin-top:104.9pt;height:22.7pt;width:63pt;mso-position-vertical-relative:page;z-index:251660288;mso-width-relative:page;mso-height-relative:page;" filled="f" stroked="f" coordsize="21600,21600">
            <v:path/>
            <v:fill on="f" focussize="0,0"/>
            <v:stroke on="f" joinstyle="miter"/>
            <v:imagedata o:title=""/>
            <o:lock v:ext="edit"/>
            <v:textbox inset="0mm,0mm,0mm,0mm">
              <w:txbxContent>
                <w:p>
                  <w:pPr>
                    <w:rPr>
                      <w:rFonts w:ascii="黑体" w:hAnsi="黑体" w:eastAsia="黑体"/>
                      <w:szCs w:val="32"/>
                    </w:rPr>
                  </w:pPr>
                </w:p>
              </w:txbxContent>
            </v:textbox>
            <w10:anchorlock/>
          </v:shape>
        </w:pict>
      </w:r>
      <w:r>
        <w:rPr>
          <w:szCs w:val="32"/>
        </w:rPr>
        <w:pict>
          <v:line id="BTBX" o:spid="_x0000_s1034" o:spt="20" style="position:absolute;left:0pt;margin-left:-0.05pt;margin-top:342.45pt;height:0pt;width:442.2pt;mso-position-vertical-relative:page;z-index:251660288;mso-width-relative:page;mso-height-relative:page;" stroked="t" coordsize="21600,21600">
            <v:path arrowok="t"/>
            <v:fill focussize="0,0"/>
            <v:stroke weight="1.25pt" color="#FF0000"/>
            <v:imagedata o:title=""/>
            <o:lock v:ext="edit"/>
            <w10:anchorlock/>
          </v:line>
        </w:pic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520" w:lineRule="exact"/>
        <w:ind w:left="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关于印发《致全区农药生产、经营、使用者</w:t>
      </w:r>
    </w:p>
    <w:p>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的一封信》的通知</w:t>
      </w:r>
    </w:p>
    <w:p>
      <w:pPr>
        <w:keepNext w:val="0"/>
        <w:keepLines w:val="0"/>
        <w:pageBreakBefore w:val="0"/>
        <w:kinsoku/>
        <w:wordWrap/>
        <w:overflowPunct/>
        <w:topLinePunct w:val="0"/>
        <w:autoSpaceDE/>
        <w:autoSpaceDN/>
        <w:bidi w:val="0"/>
        <w:adjustRightInd/>
        <w:spacing w:line="600" w:lineRule="exact"/>
        <w:ind w:left="0" w:leftChars="0"/>
        <w:jc w:val="left"/>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pacing w:line="600" w:lineRule="exact"/>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各镇（街、区）政府（办事处、管委会）：</w:t>
      </w:r>
    </w:p>
    <w:p>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习近平生态文明思想和绿色发展理念，推动我区农药和农产品质量安全工作，按照属地管理的原则，构建布局合理、运转高效、全程可控的农药安全利用及包装废弃物回收处理体系，全面落实农药生产者、经营者和使用者对农药安全生产使用以及农药包装废弃物回收处理主体责任，鼓励资源化利用单位、行业协会、专业化服务机构等社会各界共同参与，现将《致全区农药生产、经营、使用者的一封信》印发给你们，请于6月1日前，将该信送达到辖区各村（居）、组，农药生产者、经营者和使用者，进一步强化普法宣传，依法依规共同做好安全使用农药及回收处理农药包装废弃物等工作。同时，通过粤政易将送达回执及工作情况（含照片）报我局种植业管理股。</w:t>
      </w:r>
    </w:p>
    <w:p>
      <w:pPr>
        <w:keepNext w:val="0"/>
        <w:keepLines w:val="0"/>
        <w:pageBreakBefore w:val="0"/>
        <w:kinsoku/>
        <w:wordWrap/>
        <w:overflowPunct/>
        <w:topLinePunct w:val="0"/>
        <w:autoSpaceDE/>
        <w:autoSpaceDN/>
        <w:bidi w:val="0"/>
        <w:adjustRightInd/>
        <w:spacing w:line="600" w:lineRule="exact"/>
        <w:ind w:left="0" w:leftChars="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left="1280" w:leftChars="200" w:hanging="640" w:hanging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附件：1.致全区农药生产、经营、使用者的一封信</w:t>
      </w:r>
    </w:p>
    <w:p>
      <w:pPr>
        <w:keepNext w:val="0"/>
        <w:keepLines w:val="0"/>
        <w:pageBreakBefore w:val="0"/>
        <w:kinsoku/>
        <w:wordWrap/>
        <w:overflowPunct/>
        <w:topLinePunct w:val="0"/>
        <w:autoSpaceDE/>
        <w:autoSpaceDN/>
        <w:bidi w:val="0"/>
        <w:adjustRightInd/>
        <w:spacing w:line="600" w:lineRule="exact"/>
        <w:ind w:left="320" w:leftChars="100" w:firstLine="1280" w:firstLineChars="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2.送达回执</w:t>
      </w:r>
    </w:p>
    <w:p>
      <w:pPr>
        <w:keepNext w:val="0"/>
        <w:keepLines w:val="0"/>
        <w:pageBreakBefore w:val="0"/>
        <w:kinsoku/>
        <w:wordWrap/>
        <w:overflowPunct/>
        <w:topLinePunct w:val="0"/>
        <w:autoSpaceDE/>
        <w:autoSpaceDN/>
        <w:bidi w:val="0"/>
        <w:adjustRightInd/>
        <w:spacing w:line="600" w:lineRule="exact"/>
        <w:ind w:left="0" w:leftChars="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left="0" w:leftChars="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left="0" w:leftChars="0"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江门市新会区农业农村局</w:t>
      </w:r>
    </w:p>
    <w:p>
      <w:pPr>
        <w:keepNext w:val="0"/>
        <w:keepLines w:val="0"/>
        <w:pageBreakBefore w:val="0"/>
        <w:kinsoku/>
        <w:wordWrap/>
        <w:overflowPunct/>
        <w:topLinePunct w:val="0"/>
        <w:autoSpaceDE/>
        <w:autoSpaceDN/>
        <w:bidi w:val="0"/>
        <w:adjustRightInd/>
        <w:spacing w:line="600" w:lineRule="exact"/>
        <w:ind w:left="0" w:leftChars="0"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2022年5月19日</w:t>
      </w:r>
    </w:p>
    <w:p>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（联系人：李金霞</w:t>
      </w:r>
      <w:r>
        <w:rPr>
          <w:rFonts w:hint="eastAsia" w:ascii="仿宋_GB2312" w:hAnsi="仿宋_GB2312" w:eastAsia="仿宋_GB2312" w:cs="仿宋_GB2312"/>
          <w:sz w:val="32"/>
          <w:szCs w:val="32"/>
          <w:lang w:eastAsia="zh-CN"/>
        </w:rPr>
        <w:t>、梁建兴，</w:t>
      </w:r>
      <w:r>
        <w:rPr>
          <w:rFonts w:hint="eastAsia" w:ascii="仿宋_GB2312" w:hAnsi="仿宋_GB2312" w:eastAsia="仿宋_GB2312" w:cs="仿宋_GB2312"/>
          <w:sz w:val="32"/>
          <w:szCs w:val="32"/>
        </w:rPr>
        <w:t>联系电话：6373972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jc w:val="both"/>
        <w:textAlignment w:val="auto"/>
        <w:rPr>
          <w:rFonts w:hint="eastAsia" w:ascii="仿宋_GB2312" w:hAnsi="仿宋_GB2312" w:eastAsia="仿宋_GB2312" w:cs="仿宋_GB2312"/>
          <w:b w:val="0"/>
          <w:bCs w:val="0"/>
          <w:color w:val="auto"/>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both"/>
        <w:textAlignment w:val="auto"/>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both"/>
        <w:textAlignment w:val="auto"/>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both"/>
        <w:textAlignment w:val="auto"/>
        <w:rPr>
          <w:rFonts w:hint="eastAsia" w:ascii="方正小标宋简体" w:hAnsi="方正小标宋简体" w:eastAsia="方正小标宋简体" w:cs="方正小标宋简体"/>
          <w:b w:val="0"/>
          <w:bCs w:val="0"/>
          <w:color w:val="auto"/>
          <w:kern w:val="0"/>
          <w:sz w:val="44"/>
          <w:szCs w:val="44"/>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both"/>
        <w:textAlignment w:val="auto"/>
        <w:rPr>
          <w:rFonts w:hint="eastAsia" w:ascii="方正小标宋简体" w:hAnsi="方正小标宋简体" w:eastAsia="方正小标宋简体" w:cs="方正小标宋简体"/>
          <w:b w:val="0"/>
          <w:bCs w:val="0"/>
          <w:color w:val="auto"/>
          <w:kern w:val="0"/>
          <w:sz w:val="44"/>
          <w:szCs w:val="44"/>
        </w:rPr>
      </w:pPr>
    </w:p>
    <w:p>
      <w:pPr>
        <w:spacing w:line="560" w:lineRule="exact"/>
        <w:rPr>
          <w:rFonts w:hint="eastAsia" w:ascii="仿宋_GB2312" w:hAnsi="仿宋_GB2312" w:eastAsia="仿宋_GB2312" w:cs="仿宋_GB2312"/>
          <w:szCs w:val="32"/>
        </w:rPr>
      </w:pPr>
      <w:r>
        <w:rPr>
          <w:rFonts w:hint="eastAsia" w:ascii="黑体" w:hAnsi="黑体" w:eastAsia="黑体" w:cs="黑体"/>
          <w:b w:val="0"/>
          <w:bCs/>
          <w:szCs w:val="32"/>
        </w:rPr>
        <w:t>公开方式：</w:t>
      </w:r>
      <w:r>
        <w:rPr>
          <w:rFonts w:hint="eastAsia" w:ascii="仿宋_GB2312" w:hAnsi="仿宋_GB2312" w:eastAsia="仿宋_GB2312" w:cs="仿宋_GB2312"/>
          <w:szCs w:val="32"/>
          <w:lang w:val="en-US" w:eastAsia="zh-CN"/>
        </w:rPr>
        <w:t>主动</w:t>
      </w:r>
      <w:r>
        <w:rPr>
          <w:rFonts w:hint="eastAsia" w:ascii="仿宋_GB2312" w:hAnsi="仿宋_GB2312" w:eastAsia="仿宋_GB2312" w:cs="仿宋_GB2312"/>
          <w:szCs w:val="32"/>
        </w:rPr>
        <w:t>公开</w:t>
      </w:r>
    </w:p>
    <w:p>
      <w:pPr>
        <w:spacing w:line="560" w:lineRule="exact"/>
        <w:rPr>
          <w:rFonts w:hint="eastAsia" w:ascii="仿宋_GB2312" w:hAnsi="仿宋_GB2312" w:eastAsia="仿宋_GB2312" w:cs="仿宋_GB2312"/>
          <w:szCs w:val="32"/>
        </w:rPr>
      </w:pPr>
    </w:p>
    <w:p>
      <w:pPr>
        <w:pBdr>
          <w:top w:val="single" w:color="auto" w:sz="6" w:space="1"/>
          <w:bottom w:val="single" w:color="auto" w:sz="6" w:space="1"/>
        </w:pBdr>
        <w:spacing w:line="560" w:lineRule="exact"/>
        <w:rPr>
          <w:rFonts w:hint="eastAsia" w:ascii="仿宋_GB2312" w:hAnsi="仿宋_GB2312" w:eastAsia="仿宋_GB2312" w:cs="仿宋_GB2312"/>
          <w:szCs w:val="32"/>
        </w:rPr>
      </w:pPr>
      <w:r>
        <w:rPr>
          <w:rFonts w:hint="eastAsia" w:ascii="仿宋_GB2312" w:hAnsi="仿宋_GB2312" w:eastAsia="仿宋_GB2312" w:cs="仿宋_GB2312"/>
          <w:szCs w:val="32"/>
        </w:rPr>
        <w:t xml:space="preserve">江门市新会区农业农村局办公室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 202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19</w:t>
      </w:r>
      <w:r>
        <w:rPr>
          <w:rFonts w:hint="eastAsia" w:ascii="仿宋_GB2312" w:hAnsi="仿宋_GB2312" w:eastAsia="仿宋_GB2312" w:cs="仿宋_GB2312"/>
          <w:szCs w:val="32"/>
        </w:rPr>
        <w:t>日印发</w:t>
      </w:r>
    </w:p>
    <w:p>
      <w:pPr>
        <w:keepNext w:val="0"/>
        <w:keepLines w:val="0"/>
        <w:pageBreakBefore w:val="0"/>
        <w:kinsoku/>
        <w:overflowPunct/>
        <w:topLinePunct w:val="0"/>
        <w:autoSpaceDE/>
        <w:autoSpaceDN/>
        <w:bidi w:val="0"/>
        <w:adjustRightIn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kinsoku/>
        <w:overflowPunct/>
        <w:topLinePunct w:val="0"/>
        <w:autoSpaceDE/>
        <w:autoSpaceDN/>
        <w:bidi w:val="0"/>
        <w:adjustRightInd/>
        <w:spacing w:beforeAutospacing="0" w:afterAutospacing="0" w:line="560" w:lineRule="exact"/>
        <w:jc w:val="lef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致全区农药生产、经营、使用者的一封信</w:t>
      </w:r>
    </w:p>
    <w:p>
      <w:pPr>
        <w:keepNext w:val="0"/>
        <w:keepLines w:val="0"/>
        <w:pageBreakBefore w:val="0"/>
        <w:kinsoku/>
        <w:overflowPunct/>
        <w:topLinePunct w:val="0"/>
        <w:autoSpaceDE/>
        <w:autoSpaceDN/>
        <w:bidi w:val="0"/>
        <w:adjustRightInd/>
        <w:spacing w:beforeAutospacing="0" w:afterAutospacing="0"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新会区全体农药生产者、经营者和使用者：</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农药是重要的农业投入品，为进一步宣传普及和提高农药依法安全使用、农药包装废弃物回收意识，促进农业生产，保护农村生态环境，确保农产品质量安全，保障公众健康，根据国家法律、行政法规，特</w:t>
      </w:r>
      <w:r>
        <w:rPr>
          <w:rFonts w:hint="eastAsia" w:ascii="仿宋_GB2312" w:hAnsi="仿宋_GB2312" w:eastAsia="仿宋_GB2312" w:cs="仿宋_GB2312"/>
          <w:sz w:val="32"/>
          <w:szCs w:val="32"/>
          <w:lang w:eastAsia="zh-CN"/>
        </w:rPr>
        <w:t>做如下</w:t>
      </w:r>
      <w:r>
        <w:rPr>
          <w:rFonts w:hint="eastAsia" w:ascii="仿宋_GB2312" w:hAnsi="仿宋_GB2312" w:eastAsia="仿宋_GB2312" w:cs="仿宋_GB2312"/>
          <w:sz w:val="32"/>
          <w:szCs w:val="32"/>
        </w:rPr>
        <w:t>告知：</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一、《农药管理条例》有关规定：</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本条例所称农药，是指用于预防、控制危害农业、林业的病、虫、草、鼠和其他有害生物以及有目的地调节植物、昆虫生长的化学合成或者来源于生物、其他天然物质的一种物质或者几种物质的混合物及其制剂。</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农药使用者应当遵守国家有关农药安全、合理使用制度，妥善保管农药，并在配药、用药过程中采取必要的防护措施，避免发生农药使用事故。</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农药使用者应当严格按照农药的标签标注的使用范围、使用方法和剂量、使用技术要求和注意事项使用农药，不得扩大使用范围、加大用药剂量或者改变使用方法。</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农药使用者不得使用禁用的农药。</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标签标注安全间隔期的农药，在农产品收获前应当按照安全间隔期的要求停止使用。</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剧毒、高毒农药不得用于防治卫生害虫，不得用于蔬菜、瓜果、茶叶、菌类、中草药材的生产，不得用于水生植物的病虫害防治。</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农药使用者应当保护环境，保护有益生物和珍稀物种，不得在饮用水水源保护区、河道内丢弃农药、农药包装物或者清洗施药器械。</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严禁在饮用水水源保护区内使用农药，严禁使用农药毒鱼、虾、鸟、兽等。</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农产品生产企业、食品和食用农产品仓储企业、专业化病虫害防治服务组织和从事农产品生产的农民专业合作社等应当建立农药使用记录，如实记录使用农药的时间、地点、对象以及农药名称、用量、生产企业等。农药使用记录应当保存2年以上。</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国家鼓励其他农药使用者建立农药使用记录。</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国家鼓励农药使用者妥善收集农药包装物等废弃物；农药生产企业、农药经营者应当回收农药废弃物，防止农药污染环境和农药中毒事故的发生。</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发生农药使用事故，农药使用者、农药生产企业、农药经营者和其他有关人员应当及时报告当地农业主管部门。</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二、国家禁限制农药名录</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楷体_GB2312" w:hAnsi="楷体_GB2312" w:eastAsia="楷体_GB2312" w:cs="楷体_GB2312"/>
          <w:b w:val="0"/>
          <w:bCs w:val="0"/>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val="0"/>
          <w:bCs w:val="0"/>
          <w:sz w:val="32"/>
          <w:szCs w:val="32"/>
        </w:rPr>
        <w:t>（一）禁止（停止）使用的农药</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46种</w:t>
      </w:r>
      <w:r>
        <w:rPr>
          <w:rFonts w:hint="eastAsia" w:ascii="楷体_GB2312" w:hAnsi="楷体_GB2312" w:eastAsia="楷体_GB2312" w:cs="楷体_GB2312"/>
          <w:b w:val="0"/>
          <w:bCs w:val="0"/>
          <w:sz w:val="32"/>
          <w:szCs w:val="32"/>
          <w:lang w:eastAsia="zh-CN"/>
        </w:rPr>
        <w:t>）</w:t>
      </w:r>
    </w:p>
    <w:p>
      <w:pPr>
        <w:keepNext w:val="0"/>
        <w:keepLines w:val="0"/>
        <w:pageBreakBefore w:val="0"/>
        <w:kinsoku/>
        <w:overflowPunct/>
        <w:topLinePunct w:val="0"/>
        <w:autoSpaceDE/>
        <w:autoSpaceDN/>
        <w:bidi w:val="0"/>
        <w:adjustRightInd/>
        <w:snapToGrid w:val="0"/>
        <w:spacing w:beforeAutospacing="0" w:afterAutospacing="0"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六六、滴滴涕、毒杀芬、二溴氯丙烷、杀虫脒、二溴乙烷、除草醚、艾氏剂、狄氏剂、汞制剂、砷类、铅类、敌枯双、氟乙酰胺、甘氟、毒鼠强、氟乙酸钠、毒鼠硅，甲胺磷、对硫磷、甲基对硫磷、久效磷、磷胺、苯线磷、地虫硫磷、甲基硫环磷、磷化钙、磷化镁、磷化锌、硫线磷、蝇毒磷、治螟磷、特丁硫磷、氯磺隆、胺苯磺隆、甲磺隆、福美胂、福美甲胂、三氯杀螨醇、林丹、硫丹、溴甲烷、氯虫胺、杀朴磷、百草枯、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滴丁酯。 </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（二）在部分范围内限制使用的农药（20种）</w:t>
      </w:r>
    </w:p>
    <w:tbl>
      <w:tblPr>
        <w:tblStyle w:val="12"/>
        <w:tblW w:w="921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4525"/>
        <w:gridCol w:w="46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top"/>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通用名</w:t>
            </w:r>
          </w:p>
        </w:tc>
        <w:tc>
          <w:tcPr>
            <w:tcW w:w="25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top"/>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禁止使用范围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甲拌磷、甲基异柳磷、克百威、水胺硫磷、氧乐果、灭多威、涕灭威、灭线磷</w:t>
            </w:r>
          </w:p>
        </w:tc>
        <w:tc>
          <w:tcPr>
            <w:tcW w:w="25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禁止在蔬菜、瓜果、茶叶、菌类、中草药材上使用，禁止用于防治卫生害虫，禁止用于水生植物的病虫害防治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甲拌磷、甲基异柳磷、克百威 </w:t>
            </w:r>
          </w:p>
        </w:tc>
        <w:tc>
          <w:tcPr>
            <w:tcW w:w="25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禁止在甘蔗作物上使用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内吸磷、硫环磷、氯唑磷 </w:t>
            </w:r>
          </w:p>
        </w:tc>
        <w:tc>
          <w:tcPr>
            <w:tcW w:w="25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禁止在蔬菜、瓜果、茶叶、中草药材上使用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乙酰甲胺磷、丁硫克百威、乐果 </w:t>
            </w:r>
          </w:p>
        </w:tc>
        <w:tc>
          <w:tcPr>
            <w:tcW w:w="25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禁止在蔬菜、瓜果、茶叶、菌类和中草药材上使用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毒死蜱、三唑磷 </w:t>
            </w:r>
          </w:p>
        </w:tc>
        <w:tc>
          <w:tcPr>
            <w:tcW w:w="25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禁止在蔬菜上使用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丁酰肼（比久） </w:t>
            </w:r>
          </w:p>
        </w:tc>
        <w:tc>
          <w:tcPr>
            <w:tcW w:w="25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禁止在花生上使用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氰戊菊酯 </w:t>
            </w:r>
          </w:p>
        </w:tc>
        <w:tc>
          <w:tcPr>
            <w:tcW w:w="25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禁止在茶叶上使用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氟虫腈 </w:t>
            </w:r>
          </w:p>
        </w:tc>
        <w:tc>
          <w:tcPr>
            <w:tcW w:w="25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禁止在所有农作物上使用（玉米等部分旱田种子包衣除外）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4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氟苯虫酰胺 </w:t>
            </w:r>
          </w:p>
        </w:tc>
        <w:tc>
          <w:tcPr>
            <w:tcW w:w="25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0C0C0C" w:themeColor="text1" w:themeTint="F2"/>
                <w:sz w:val="28"/>
                <w:szCs w:val="28"/>
              </w:rPr>
            </w:pPr>
            <w:r>
              <w:rPr>
                <w:rFonts w:hint="eastAsia" w:ascii="仿宋_GB2312" w:hAnsi="仿宋_GB2312" w:eastAsia="仿宋_GB2312" w:cs="仿宋_GB2312"/>
                <w:color w:val="0C0C0C" w:themeColor="text1" w:themeTint="F2"/>
                <w:sz w:val="28"/>
                <w:szCs w:val="28"/>
              </w:rPr>
              <w:t xml:space="preserve"> 禁止在水稻上使用 </w:t>
            </w:r>
          </w:p>
        </w:tc>
      </w:tr>
    </w:tbl>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注：限制使用农药实名购买。</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三、《农药包装废弃物回收处理管理办法》有关规定：</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本办法所称农药包装废弃物，是指农药使用后被废弃的与农药直接接触或含有农药残余物的包装物，包括瓶、罐、桶、袋等。</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农药生产者（含向中国出口农药的企业）、经营者和使用者应当积极履行农药包装废弃物回收处理义务，及时回收农药包装废弃物并进行处理。 </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国家鼓励和支持行业协会在农药包装废弃物回收处理中发挥组织协调、技术指导、提供服务等作用，鼓励和扶持专业化服务机构开展农药包装废弃物回收处理。</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农药生产者、经营者应当按照“谁生产、经营，谁回收”的原则，履行相应的农药包装废弃物回收义务。农药生产者、经营者可以协商确定农药包装废弃物回收义务的具体履行方式。 </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农药经营者应当在其经营场所设立农药包装废弃物回收装置，不得拒收其销售农药的包装废弃物。</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农药生产者、经营者应当采取有效措施，引导农药使用者及时交回农药包装废弃物。</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农药使用者应当及时收集农药包装废弃物并交回农药经营者或农药包装废弃物回收站（点），不得随意丢弃。</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农药使用者在</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过程中，配药时应当通过清洗等方式充分利用包装物中的农药，减少残留农药。 </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农药经营者和农药包装废弃物回收站（点）应当建立农药包装废弃物回收台账，记录农药包装废弃物的数量和去向信息。回收台账应当保存两年以上。 </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农药生产者应当改进农药包装，便于清洗和回收。</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国家鼓励农药生产者使用易资源化利用和易处置包装物、水溶性高分子包装物或者在环境中可降解的包装物，逐步淘汰铝箔包装物。鼓励使用便于回收的大容量包装物。 </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农药经营者和农药包装废弃物回收站（点）应当加强相关设施设备、场所的管理和维护，对收集的农药包装废弃物进行妥善贮存，不得擅自倾倒、堆放、遗撒农药包装废弃物。</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运输农药包装废弃物应当采取防止污染环境的措施，不得丢弃、遗撒农药包装废弃物，运输工具应当满足防雨、防渗漏、防遗撒要求。</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国家鼓励和支持对农药包装废弃物进行资源化利用；资源化利用以外的，应当依法依规进行填埋、焚烧等无害化处置。 </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农药生产者、经营者、使用者未按规定履行农药包装废弃物回收处理义务的，由地方人民政府农业农村主管部门按照《中华人民共和国土壤污染防治法》第八十八条规定予以处罚。 </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农药包装废弃物回收处理过程中，造成环境污染的，由地方人民政府生态环境主管部门按照《中华人民共和国固体废物污染环境防治法》等法律的有关规定予以处罚。 </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农药经营者和农药包装废弃物回收站（点）未按规定建立农药包装废弃物回收台账的，由地方人民政府农业农村主管部门责令改正；拒不改正或者情节严重的，可处二千元以上二万元以下罚款。 </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四、《中华人民共和国农产品质量安全法》有关规定：　　</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使用的保鲜剂、防腐剂、添加剂等材料不符合国家有关强制性的技术规范的；（五）其他不符合农产品质量安全标准的。</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五、《最高人民法院最高人民检察院关于办理危害食品安全刑事案件中适用法律若干问题的解读》规定：</w:t>
      </w:r>
    </w:p>
    <w:p>
      <w:pPr>
        <w:keepNext w:val="0"/>
        <w:keepLines w:val="0"/>
        <w:pageBreakBefore w:val="0"/>
        <w:kinsoku/>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食用农产品种植、养殖、销售、运输、贮存等过程中，违反食品安全标准，超限量或者超范围滥用添加剂、农药、兽药等，足以造成严重食物中毒事故或者其他严重食源性疾病的，依照刑法第一百四十三条的规定以生产、销售不符合安全标准的食品罪定罪处罚。在食用农产品种植、养殖、销售、运输、贮存等过程中，使用禁用农药、兽药等禁用物质或者其他有毒、有害物质的，依照刑法第一百四十四条的规定以生产、销售有毒、有害食品罪定罪处罚。</w:t>
      </w:r>
    </w:p>
    <w:p>
      <w:pPr>
        <w:keepNext w:val="0"/>
        <w:keepLines w:val="0"/>
        <w:pageBreakBefore w:val="0"/>
        <w:kinsoku/>
        <w:overflowPunct/>
        <w:topLinePunct w:val="0"/>
        <w:autoSpaceDE/>
        <w:autoSpaceDN/>
        <w:bidi w:val="0"/>
        <w:adjustRightInd/>
        <w:spacing w:beforeAutospacing="0" w:afterAutospacing="0" w:line="56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　　广大农药生产者、经营者和使用者安全合理经营使用农药和回收处理农药包装废弃物，事关农业生产、生态环境、农产品质量和群众生命等安全，需要大家共同支持和参与。区农业农村局安全使用农用药咨询热线：0750-6373979，</w:t>
      </w:r>
      <w:r>
        <w:rPr>
          <w:rFonts w:hint="eastAsia" w:ascii="仿宋_GB2312" w:hAnsi="仿宋_GB2312" w:eastAsia="仿宋_GB2312" w:cs="仿宋_GB2312"/>
          <w:sz w:val="32"/>
          <w:szCs w:val="32"/>
          <w:lang w:eastAsia="zh-CN"/>
        </w:rPr>
        <w:t>接收信息</w:t>
      </w:r>
      <w:r>
        <w:rPr>
          <w:rFonts w:hint="eastAsia" w:ascii="仿宋_GB2312" w:hAnsi="仿宋_GB2312" w:eastAsia="仿宋_GB2312" w:cs="仿宋_GB2312"/>
          <w:sz w:val="32"/>
          <w:szCs w:val="32"/>
        </w:rPr>
        <w:t>咨询、问题和建议反馈，让我们共同携手、共同关心和共同促进依法安全使用农药，共建农产品质量安全新会！</w:t>
      </w:r>
    </w:p>
    <w:p/>
    <w:p/>
    <w:p/>
    <w:p/>
    <w:p/>
    <w:p/>
    <w:p/>
    <w:p/>
    <w:p/>
    <w:p/>
    <w:p/>
    <w:p/>
    <w:p/>
    <w:p>
      <w:pPr>
        <w:keepNext w:val="0"/>
        <w:keepLines w:val="0"/>
        <w:pageBreakBefore w:val="0"/>
        <w:kinsoku/>
        <w:overflowPunct/>
        <w:topLinePunct w:val="0"/>
        <w:autoSpaceDE/>
        <w:autoSpaceDN/>
        <w:bidi w:val="0"/>
        <w:adjustRightInd/>
        <w:spacing w:beforeAutospacing="0" w:afterAutospacing="0" w:line="560" w:lineRule="exact"/>
        <w:textAlignment w:val="auto"/>
      </w:pPr>
    </w:p>
    <w:p/>
    <w:p/>
    <w:p/>
    <w:p/>
    <w:p/>
    <w:p>
      <w:pPr>
        <w:rPr>
          <w:rFonts w:hint="eastAsia"/>
        </w:rPr>
        <w:sectPr>
          <w:footerReference r:id="rId3" w:type="default"/>
          <w:pgSz w:w="11906" w:h="16838"/>
          <w:pgMar w:top="1701" w:right="1587" w:bottom="1417" w:left="1587" w:header="851" w:footer="992" w:gutter="0"/>
          <w:pgNumType w:fmt="decimal"/>
          <w:cols w:space="720" w:num="1"/>
          <w:docGrid w:type="lines" w:linePitch="312" w:charSpace="0"/>
        </w:sectPr>
      </w:pPr>
      <w:bookmarkStart w:id="0" w:name="_GoBack"/>
      <w:bookmarkEnd w:id="0"/>
    </w:p>
    <w:p>
      <w:pP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附件2</w:t>
      </w:r>
    </w:p>
    <w:tbl>
      <w:tblPr>
        <w:tblStyle w:val="12"/>
        <w:tblW w:w="13880" w:type="dxa"/>
        <w:tblInd w:w="93" w:type="dxa"/>
        <w:tblLayout w:type="fixed"/>
        <w:tblCellMar>
          <w:top w:w="0" w:type="dxa"/>
          <w:left w:w="108" w:type="dxa"/>
          <w:bottom w:w="0" w:type="dxa"/>
          <w:right w:w="108" w:type="dxa"/>
        </w:tblCellMar>
      </w:tblPr>
      <w:tblGrid>
        <w:gridCol w:w="3801"/>
        <w:gridCol w:w="2026"/>
        <w:gridCol w:w="1701"/>
        <w:gridCol w:w="1800"/>
        <w:gridCol w:w="3492"/>
        <w:gridCol w:w="1060"/>
      </w:tblGrid>
      <w:tr>
        <w:tblPrEx>
          <w:tblCellMar>
            <w:top w:w="0" w:type="dxa"/>
            <w:left w:w="108" w:type="dxa"/>
            <w:bottom w:w="0" w:type="dxa"/>
            <w:right w:w="108" w:type="dxa"/>
          </w:tblCellMar>
        </w:tblPrEx>
        <w:trPr>
          <w:trHeight w:val="604" w:hRule="atLeast"/>
        </w:trPr>
        <w:tc>
          <w:tcPr>
            <w:tcW w:w="13880" w:type="dxa"/>
            <w:gridSpan w:val="6"/>
            <w:tcBorders>
              <w:top w:val="nil"/>
              <w:left w:val="nil"/>
              <w:bottom w:val="nil"/>
              <w:right w:val="nil"/>
            </w:tcBorders>
            <w:noWrap/>
            <w:vAlign w:val="center"/>
          </w:tcPr>
          <w:p>
            <w:pPr>
              <w:widowControl/>
              <w:jc w:val="center"/>
              <w:textAlignment w:val="center"/>
              <w:rPr>
                <w:rFonts w:hint="eastAsia" w:ascii="仿宋_GB2312" w:hAnsi="仿宋_GB2312" w:eastAsia="仿宋_GB2312" w:cs="仿宋_GB2312"/>
                <w:b/>
                <w:bCs/>
                <w:color w:val="000000"/>
                <w:sz w:val="40"/>
                <w:szCs w:val="40"/>
              </w:rPr>
            </w:pPr>
            <w:r>
              <w:rPr>
                <w:rFonts w:hint="eastAsia" w:ascii="方正小标宋简体" w:hAnsi="方正小标宋简体" w:eastAsia="方正小标宋简体" w:cs="方正小标宋简体"/>
                <w:b w:val="0"/>
                <w:bCs w:val="0"/>
                <w:color w:val="000000"/>
                <w:kern w:val="0"/>
                <w:sz w:val="44"/>
                <w:szCs w:val="44"/>
                <w:lang w:bidi="ar"/>
              </w:rPr>
              <w:t>送达回执</w:t>
            </w:r>
          </w:p>
        </w:tc>
      </w:tr>
      <w:tr>
        <w:tblPrEx>
          <w:tblCellMar>
            <w:top w:w="0" w:type="dxa"/>
            <w:left w:w="108" w:type="dxa"/>
            <w:bottom w:w="0" w:type="dxa"/>
            <w:right w:w="108" w:type="dxa"/>
          </w:tblCellMar>
        </w:tblPrEx>
        <w:trPr>
          <w:trHeight w:val="604" w:hRule="atLeast"/>
        </w:trPr>
        <w:tc>
          <w:tcPr>
            <w:tcW w:w="13880" w:type="dxa"/>
            <w:gridSpan w:val="6"/>
            <w:tcBorders>
              <w:top w:val="nil"/>
              <w:left w:val="nil"/>
              <w:bottom w:val="nil"/>
              <w:right w:val="nil"/>
            </w:tcBorders>
            <w:noWrap/>
            <w:vAlign w:val="center"/>
          </w:tcPr>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送达单位（盖章）：新会区</w:t>
            </w:r>
            <w:r>
              <w:rPr>
                <w:rStyle w:val="27"/>
                <w:rFonts w:hint="eastAsia" w:ascii="仿宋_GB2312" w:hAnsi="仿宋_GB2312" w:eastAsia="仿宋_GB2312" w:cs="仿宋_GB2312"/>
                <w:sz w:val="32"/>
                <w:szCs w:val="32"/>
                <w:lang w:bidi="ar"/>
              </w:rPr>
              <w:t xml:space="preserve">      </w:t>
            </w:r>
            <w:r>
              <w:rPr>
                <w:rStyle w:val="28"/>
                <w:rFonts w:hint="eastAsia" w:ascii="仿宋_GB2312" w:hAnsi="仿宋_GB2312" w:eastAsia="仿宋_GB2312" w:cs="仿宋_GB2312"/>
                <w:sz w:val="32"/>
                <w:szCs w:val="32"/>
                <w:lang w:bidi="ar"/>
              </w:rPr>
              <w:t>镇（街、区）农业农村办公室</w:t>
            </w:r>
          </w:p>
        </w:tc>
      </w:tr>
      <w:tr>
        <w:tblPrEx>
          <w:tblCellMar>
            <w:top w:w="0" w:type="dxa"/>
            <w:left w:w="108" w:type="dxa"/>
            <w:bottom w:w="0" w:type="dxa"/>
            <w:right w:w="108" w:type="dxa"/>
          </w:tblCellMar>
        </w:tblPrEx>
        <w:trPr>
          <w:trHeight w:val="823" w:hRule="atLeast"/>
        </w:trPr>
        <w:tc>
          <w:tcPr>
            <w:tcW w:w="3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送达文件名称</w:t>
            </w:r>
          </w:p>
        </w:tc>
        <w:tc>
          <w:tcPr>
            <w:tcW w:w="100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致全区农药生产、经营、使用者的一封信</w:t>
            </w:r>
          </w:p>
        </w:tc>
      </w:tr>
      <w:tr>
        <w:tblPrEx>
          <w:tblCellMar>
            <w:top w:w="0" w:type="dxa"/>
            <w:left w:w="108" w:type="dxa"/>
            <w:bottom w:w="0" w:type="dxa"/>
            <w:right w:w="108" w:type="dxa"/>
          </w:tblCellMar>
        </w:tblPrEx>
        <w:trPr>
          <w:trHeight w:val="900" w:hRule="atLeast"/>
        </w:trPr>
        <w:tc>
          <w:tcPr>
            <w:tcW w:w="3801"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受达人（含村（居）委会、农药生产者、经营者、使用者）全称</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受达人签字        或盖章</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送达人</w:t>
            </w:r>
          </w:p>
          <w:p>
            <w:pPr>
              <w:spacing w:line="3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26"/>
                <w:szCs w:val="26"/>
                <w:lang w:bidi="ar"/>
              </w:rPr>
              <w:t>签字</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送（受）达</w:t>
            </w:r>
          </w:p>
          <w:p>
            <w:pPr>
              <w:spacing w:line="3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26"/>
                <w:szCs w:val="26"/>
                <w:lang w:bidi="ar"/>
              </w:rPr>
              <w:t>时间</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送达方式（在相应</w:t>
            </w:r>
            <w:r>
              <w:rPr>
                <w:rFonts w:hint="eastAsia" w:ascii="仿宋_GB2312" w:hAnsi="仿宋_GB2312" w:eastAsia="仿宋_GB2312" w:cs="仿宋_GB2312"/>
                <w:color w:val="000000"/>
                <w:kern w:val="0"/>
                <w:sz w:val="26"/>
                <w:szCs w:val="26"/>
                <w:lang w:bidi="ar"/>
              </w:rPr>
              <w:sym w:font="Wingdings" w:char="00A8"/>
            </w:r>
            <w:r>
              <w:rPr>
                <w:rFonts w:hint="eastAsia" w:ascii="仿宋_GB2312" w:hAnsi="仿宋_GB2312" w:eastAsia="仿宋_GB2312" w:cs="仿宋_GB2312"/>
                <w:color w:val="000000"/>
                <w:kern w:val="0"/>
                <w:sz w:val="26"/>
                <w:szCs w:val="26"/>
                <w:lang w:bidi="ar"/>
              </w:rPr>
              <w:t>打√）</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spacing w:line="380" w:lineRule="exact"/>
              <w:jc w:val="center"/>
              <w:rPr>
                <w:rFonts w:hint="eastAsia"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备注</w:t>
            </w:r>
          </w:p>
        </w:tc>
      </w:tr>
      <w:tr>
        <w:tblPrEx>
          <w:tblCellMar>
            <w:top w:w="0" w:type="dxa"/>
            <w:left w:w="108" w:type="dxa"/>
            <w:bottom w:w="0" w:type="dxa"/>
            <w:right w:w="108" w:type="dxa"/>
          </w:tblCellMar>
        </w:tblPrEx>
        <w:trPr>
          <w:trHeight w:val="683" w:hRule="atLeast"/>
        </w:trPr>
        <w:tc>
          <w:tcPr>
            <w:tcW w:w="38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20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3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Wingdings" w:hAnsi="Wingdings" w:cs="Wingdings"/>
                <w:color w:val="000000"/>
                <w:sz w:val="24"/>
              </w:rPr>
            </w:pPr>
            <w:r>
              <w:rPr>
                <w:rFonts w:ascii="Wingdings" w:hAnsi="Wingdings" w:cs="Wingdings"/>
                <w:color w:val="000000"/>
                <w:kern w:val="0"/>
                <w:sz w:val="24"/>
                <w:lang w:bidi="ar"/>
              </w:rPr>
              <w:t></w:t>
            </w:r>
            <w:r>
              <w:rPr>
                <w:rStyle w:val="29"/>
                <w:rFonts w:hint="default"/>
                <w:lang w:bidi="ar"/>
              </w:rPr>
              <w:t>直接送达</w:t>
            </w:r>
            <w:r>
              <w:rPr>
                <w:rStyle w:val="30"/>
                <w:lang w:bidi="ar"/>
              </w:rPr>
              <w:t></w:t>
            </w:r>
            <w:r>
              <w:rPr>
                <w:rStyle w:val="29"/>
                <w:rFonts w:hint="default"/>
                <w:lang w:bidi="ar"/>
              </w:rPr>
              <w:t>转达送达</w:t>
            </w:r>
            <w:r>
              <w:rPr>
                <w:rStyle w:val="30"/>
                <w:lang w:bidi="ar"/>
              </w:rPr>
              <w:t></w:t>
            </w:r>
            <w:r>
              <w:rPr>
                <w:rStyle w:val="29"/>
                <w:rFonts w:hint="default"/>
                <w:lang w:bidi="ar"/>
              </w:rPr>
              <w:t>其他送达</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668" w:hRule="atLeast"/>
        </w:trPr>
        <w:tc>
          <w:tcPr>
            <w:tcW w:w="38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20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34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r>
              <w:rPr>
                <w:rFonts w:ascii="Wingdings" w:hAnsi="Wingdings" w:cs="Wingdings"/>
                <w:color w:val="000000"/>
                <w:kern w:val="0"/>
                <w:sz w:val="24"/>
                <w:lang w:bidi="ar"/>
              </w:rPr>
              <w:t></w:t>
            </w:r>
            <w:r>
              <w:rPr>
                <w:rStyle w:val="29"/>
                <w:rFonts w:hint="default"/>
                <w:lang w:bidi="ar"/>
              </w:rPr>
              <w:t>直接送达</w:t>
            </w:r>
            <w:r>
              <w:rPr>
                <w:rStyle w:val="30"/>
                <w:lang w:bidi="ar"/>
              </w:rPr>
              <w:t></w:t>
            </w:r>
            <w:r>
              <w:rPr>
                <w:rStyle w:val="29"/>
                <w:rFonts w:hint="default"/>
                <w:lang w:bidi="ar"/>
              </w:rPr>
              <w:t>转达送达</w:t>
            </w:r>
            <w:r>
              <w:rPr>
                <w:rStyle w:val="30"/>
                <w:lang w:bidi="ar"/>
              </w:rPr>
              <w:t></w:t>
            </w:r>
            <w:r>
              <w:rPr>
                <w:rStyle w:val="29"/>
                <w:rFonts w:hint="default"/>
                <w:lang w:bidi="ar"/>
              </w:rPr>
              <w:t>其他送达</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698" w:hRule="atLeast"/>
        </w:trPr>
        <w:tc>
          <w:tcPr>
            <w:tcW w:w="38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20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34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r>
              <w:rPr>
                <w:rFonts w:ascii="Wingdings" w:hAnsi="Wingdings" w:cs="Wingdings"/>
                <w:color w:val="000000"/>
                <w:kern w:val="0"/>
                <w:sz w:val="24"/>
                <w:lang w:bidi="ar"/>
              </w:rPr>
              <w:t></w:t>
            </w:r>
            <w:r>
              <w:rPr>
                <w:rStyle w:val="29"/>
                <w:rFonts w:hint="default"/>
                <w:lang w:bidi="ar"/>
              </w:rPr>
              <w:t>直接送达</w:t>
            </w:r>
            <w:r>
              <w:rPr>
                <w:rStyle w:val="30"/>
                <w:lang w:bidi="ar"/>
              </w:rPr>
              <w:t></w:t>
            </w:r>
            <w:r>
              <w:rPr>
                <w:rStyle w:val="29"/>
                <w:rFonts w:hint="default"/>
                <w:lang w:bidi="ar"/>
              </w:rPr>
              <w:t>转达送达</w:t>
            </w:r>
            <w:r>
              <w:rPr>
                <w:rStyle w:val="30"/>
                <w:lang w:bidi="ar"/>
              </w:rPr>
              <w:t></w:t>
            </w:r>
            <w:r>
              <w:rPr>
                <w:rStyle w:val="29"/>
                <w:rFonts w:hint="default"/>
                <w:lang w:bidi="ar"/>
              </w:rPr>
              <w:t>其他送达</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702" w:hRule="atLeast"/>
        </w:trPr>
        <w:tc>
          <w:tcPr>
            <w:tcW w:w="38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20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34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r>
              <w:rPr>
                <w:rFonts w:ascii="Wingdings" w:hAnsi="Wingdings" w:cs="Wingdings"/>
                <w:color w:val="000000"/>
                <w:kern w:val="0"/>
                <w:sz w:val="24"/>
                <w:lang w:bidi="ar"/>
              </w:rPr>
              <w:t></w:t>
            </w:r>
            <w:r>
              <w:rPr>
                <w:rStyle w:val="29"/>
                <w:rFonts w:hint="default"/>
                <w:lang w:bidi="ar"/>
              </w:rPr>
              <w:t>直接送达</w:t>
            </w:r>
            <w:r>
              <w:rPr>
                <w:rStyle w:val="30"/>
                <w:lang w:bidi="ar"/>
              </w:rPr>
              <w:t></w:t>
            </w:r>
            <w:r>
              <w:rPr>
                <w:rStyle w:val="29"/>
                <w:rFonts w:hint="default"/>
                <w:lang w:bidi="ar"/>
              </w:rPr>
              <w:t>转达送达</w:t>
            </w:r>
            <w:r>
              <w:rPr>
                <w:rStyle w:val="30"/>
                <w:lang w:bidi="ar"/>
              </w:rPr>
              <w:t></w:t>
            </w:r>
            <w:r>
              <w:rPr>
                <w:rStyle w:val="29"/>
                <w:rFonts w:hint="default"/>
                <w:lang w:bidi="ar"/>
              </w:rPr>
              <w:t>其他送达</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r>
        <w:tblPrEx>
          <w:tblCellMar>
            <w:top w:w="0" w:type="dxa"/>
            <w:left w:w="108" w:type="dxa"/>
            <w:bottom w:w="0" w:type="dxa"/>
            <w:right w:w="108" w:type="dxa"/>
          </w:tblCellMar>
        </w:tblPrEx>
        <w:trPr>
          <w:trHeight w:val="702" w:hRule="atLeast"/>
        </w:trPr>
        <w:tc>
          <w:tcPr>
            <w:tcW w:w="38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20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c>
          <w:tcPr>
            <w:tcW w:w="3492" w:type="dxa"/>
            <w:tcBorders>
              <w:top w:val="single" w:color="000000" w:sz="4" w:space="0"/>
              <w:left w:val="single" w:color="000000" w:sz="4" w:space="0"/>
              <w:bottom w:val="single" w:color="000000" w:sz="4" w:space="0"/>
              <w:right w:val="single" w:color="000000" w:sz="4" w:space="0"/>
            </w:tcBorders>
            <w:noWrap/>
            <w:vAlign w:val="center"/>
          </w:tcPr>
          <w:p>
            <w:pPr>
              <w:rPr>
                <w:rFonts w:ascii="Wingdings" w:hAnsi="Wingdings" w:cs="Wingdings"/>
                <w:color w:val="000000"/>
                <w:kern w:val="0"/>
                <w:sz w:val="24"/>
                <w:lang w:bidi="ar"/>
              </w:rPr>
            </w:pPr>
            <w:r>
              <w:rPr>
                <w:rFonts w:ascii="Wingdings" w:hAnsi="Wingdings" w:cs="Wingdings"/>
                <w:color w:val="000000"/>
                <w:kern w:val="0"/>
                <w:sz w:val="24"/>
                <w:lang w:bidi="ar"/>
              </w:rPr>
              <w:t></w:t>
            </w:r>
            <w:r>
              <w:rPr>
                <w:rStyle w:val="29"/>
                <w:rFonts w:hint="default"/>
                <w:lang w:bidi="ar"/>
              </w:rPr>
              <w:t>直接送达</w:t>
            </w:r>
            <w:r>
              <w:rPr>
                <w:rStyle w:val="30"/>
                <w:lang w:bidi="ar"/>
              </w:rPr>
              <w:t></w:t>
            </w:r>
            <w:r>
              <w:rPr>
                <w:rStyle w:val="29"/>
                <w:rFonts w:hint="default"/>
                <w:lang w:bidi="ar"/>
              </w:rPr>
              <w:t>转达送达</w:t>
            </w:r>
            <w:r>
              <w:rPr>
                <w:rStyle w:val="30"/>
                <w:lang w:bidi="ar"/>
              </w:rPr>
              <w:t></w:t>
            </w:r>
            <w:r>
              <w:rPr>
                <w:rStyle w:val="29"/>
                <w:rFonts w:hint="default"/>
                <w:lang w:bidi="ar"/>
              </w:rPr>
              <w:t>其他送达</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rPr>
            </w:pPr>
          </w:p>
        </w:tc>
      </w:tr>
    </w:tbl>
    <w:p/>
    <w:p>
      <w:pPr>
        <w:tabs>
          <w:tab w:val="left" w:pos="1718"/>
        </w:tabs>
        <w:bidi w:val="0"/>
        <w:jc w:val="left"/>
        <w:rPr>
          <w:rFonts w:hint="eastAsia"/>
          <w:lang w:val="en-US" w:eastAsia="zh-CN"/>
        </w:rPr>
      </w:pPr>
    </w:p>
    <w:sectPr>
      <w:headerReference r:id="rId5" w:type="first"/>
      <w:footerReference r:id="rId7" w:type="first"/>
      <w:headerReference r:id="rId4" w:type="default"/>
      <w:footerReference r:id="rId6" w:type="default"/>
      <w:pgSz w:w="16838" w:h="11906" w:orient="landscape"/>
      <w:pgMar w:top="1588" w:right="1701" w:bottom="1588" w:left="1418" w:header="851" w:footer="567" w:gutter="0"/>
      <w:pgNumType w:fmt="decimal"/>
      <w:cols w:space="425" w:num="1"/>
      <w:titlePg/>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4" o:spid="_x0000_s2054"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 w:hAnsi="仿宋"/>
        <w:sz w:val="28"/>
        <w:szCs w:val="28"/>
      </w:rPr>
    </w:pPr>
    <w:r>
      <w:rPr>
        <w:sz w:val="28"/>
      </w:rPr>
      <w:pict>
        <v:shape id="_x0000_s2053" o:spid="_x0000_s205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k0M2E4YWQ2NzA5ZTA4OTRjNGVjYmFlZWJmY2FlZmYifQ=="/>
  </w:docVars>
  <w:rsids>
    <w:rsidRoot w:val="000F1B41"/>
    <w:rsid w:val="0000454C"/>
    <w:rsid w:val="00015641"/>
    <w:rsid w:val="000169A0"/>
    <w:rsid w:val="00016DA1"/>
    <w:rsid w:val="00024431"/>
    <w:rsid w:val="000325D7"/>
    <w:rsid w:val="0003261F"/>
    <w:rsid w:val="00037357"/>
    <w:rsid w:val="000566D8"/>
    <w:rsid w:val="00060890"/>
    <w:rsid w:val="00064A47"/>
    <w:rsid w:val="000811F5"/>
    <w:rsid w:val="00091F8F"/>
    <w:rsid w:val="0009344D"/>
    <w:rsid w:val="00095A31"/>
    <w:rsid w:val="00096A2F"/>
    <w:rsid w:val="000B4430"/>
    <w:rsid w:val="000C00ED"/>
    <w:rsid w:val="000C4D3D"/>
    <w:rsid w:val="000E5B6E"/>
    <w:rsid w:val="000E6FA5"/>
    <w:rsid w:val="000F16F8"/>
    <w:rsid w:val="000F1B41"/>
    <w:rsid w:val="000F23F7"/>
    <w:rsid w:val="001021C2"/>
    <w:rsid w:val="00103867"/>
    <w:rsid w:val="00104C04"/>
    <w:rsid w:val="00106E10"/>
    <w:rsid w:val="00106FB6"/>
    <w:rsid w:val="00114A7F"/>
    <w:rsid w:val="001379FE"/>
    <w:rsid w:val="00142BA2"/>
    <w:rsid w:val="001508F3"/>
    <w:rsid w:val="001510F5"/>
    <w:rsid w:val="00166A58"/>
    <w:rsid w:val="001772F3"/>
    <w:rsid w:val="001817F1"/>
    <w:rsid w:val="00181A2D"/>
    <w:rsid w:val="0018229D"/>
    <w:rsid w:val="0019493D"/>
    <w:rsid w:val="0019553B"/>
    <w:rsid w:val="001A36E5"/>
    <w:rsid w:val="001A4EEB"/>
    <w:rsid w:val="001B000D"/>
    <w:rsid w:val="001C08C6"/>
    <w:rsid w:val="001C0AF5"/>
    <w:rsid w:val="001C5832"/>
    <w:rsid w:val="001C6592"/>
    <w:rsid w:val="001D5AE2"/>
    <w:rsid w:val="001E289F"/>
    <w:rsid w:val="001E313A"/>
    <w:rsid w:val="0020568D"/>
    <w:rsid w:val="00213774"/>
    <w:rsid w:val="0022257C"/>
    <w:rsid w:val="002342C4"/>
    <w:rsid w:val="00241B93"/>
    <w:rsid w:val="002446C0"/>
    <w:rsid w:val="002532EB"/>
    <w:rsid w:val="00261F9B"/>
    <w:rsid w:val="002637FA"/>
    <w:rsid w:val="00271CDC"/>
    <w:rsid w:val="0028003D"/>
    <w:rsid w:val="00285640"/>
    <w:rsid w:val="002977F7"/>
    <w:rsid w:val="002A028B"/>
    <w:rsid w:val="002A342F"/>
    <w:rsid w:val="002B1569"/>
    <w:rsid w:val="002C0126"/>
    <w:rsid w:val="002C1D85"/>
    <w:rsid w:val="002C4A49"/>
    <w:rsid w:val="002D2D7D"/>
    <w:rsid w:val="002D48E0"/>
    <w:rsid w:val="002D58BA"/>
    <w:rsid w:val="00307089"/>
    <w:rsid w:val="003173A6"/>
    <w:rsid w:val="00325F62"/>
    <w:rsid w:val="00327F27"/>
    <w:rsid w:val="003433FB"/>
    <w:rsid w:val="00345B67"/>
    <w:rsid w:val="003541DF"/>
    <w:rsid w:val="0036046B"/>
    <w:rsid w:val="003678D6"/>
    <w:rsid w:val="00372570"/>
    <w:rsid w:val="003976EE"/>
    <w:rsid w:val="003A2189"/>
    <w:rsid w:val="003A28B2"/>
    <w:rsid w:val="003A68A2"/>
    <w:rsid w:val="003B021A"/>
    <w:rsid w:val="003C1190"/>
    <w:rsid w:val="003C485B"/>
    <w:rsid w:val="003C7337"/>
    <w:rsid w:val="003D1A13"/>
    <w:rsid w:val="003D6247"/>
    <w:rsid w:val="003E03DF"/>
    <w:rsid w:val="003E5842"/>
    <w:rsid w:val="003E5E3B"/>
    <w:rsid w:val="00403BC0"/>
    <w:rsid w:val="0040602F"/>
    <w:rsid w:val="00411B8B"/>
    <w:rsid w:val="00413902"/>
    <w:rsid w:val="00425E10"/>
    <w:rsid w:val="00430FBC"/>
    <w:rsid w:val="0043176A"/>
    <w:rsid w:val="00436216"/>
    <w:rsid w:val="00453C76"/>
    <w:rsid w:val="00454403"/>
    <w:rsid w:val="004549E2"/>
    <w:rsid w:val="004550C0"/>
    <w:rsid w:val="0045569D"/>
    <w:rsid w:val="00460B25"/>
    <w:rsid w:val="00474782"/>
    <w:rsid w:val="004768BB"/>
    <w:rsid w:val="00476A55"/>
    <w:rsid w:val="00481B9B"/>
    <w:rsid w:val="00482FFE"/>
    <w:rsid w:val="00490593"/>
    <w:rsid w:val="004973CA"/>
    <w:rsid w:val="004A0018"/>
    <w:rsid w:val="004A5F92"/>
    <w:rsid w:val="004A7D08"/>
    <w:rsid w:val="004B59F0"/>
    <w:rsid w:val="004C2140"/>
    <w:rsid w:val="004C2436"/>
    <w:rsid w:val="004C6969"/>
    <w:rsid w:val="004D0BAD"/>
    <w:rsid w:val="004E2635"/>
    <w:rsid w:val="004E6879"/>
    <w:rsid w:val="004E72BA"/>
    <w:rsid w:val="004F4D0A"/>
    <w:rsid w:val="004F5424"/>
    <w:rsid w:val="004F7F86"/>
    <w:rsid w:val="00500C10"/>
    <w:rsid w:val="005051DF"/>
    <w:rsid w:val="00526E4B"/>
    <w:rsid w:val="0053143F"/>
    <w:rsid w:val="00542A97"/>
    <w:rsid w:val="0054409C"/>
    <w:rsid w:val="00553772"/>
    <w:rsid w:val="0055380C"/>
    <w:rsid w:val="00557E93"/>
    <w:rsid w:val="005838B1"/>
    <w:rsid w:val="005A43B3"/>
    <w:rsid w:val="005A54E4"/>
    <w:rsid w:val="005B0EF3"/>
    <w:rsid w:val="005B2C3C"/>
    <w:rsid w:val="005C3947"/>
    <w:rsid w:val="005D0BED"/>
    <w:rsid w:val="005E3107"/>
    <w:rsid w:val="005E58D4"/>
    <w:rsid w:val="005F53B2"/>
    <w:rsid w:val="00607F5B"/>
    <w:rsid w:val="0062633B"/>
    <w:rsid w:val="006437F9"/>
    <w:rsid w:val="00663D26"/>
    <w:rsid w:val="00664B44"/>
    <w:rsid w:val="0067018E"/>
    <w:rsid w:val="00673D6A"/>
    <w:rsid w:val="006849D0"/>
    <w:rsid w:val="006956FD"/>
    <w:rsid w:val="006979FF"/>
    <w:rsid w:val="006A1FE8"/>
    <w:rsid w:val="006A2419"/>
    <w:rsid w:val="006A26B3"/>
    <w:rsid w:val="006A4902"/>
    <w:rsid w:val="006B38F7"/>
    <w:rsid w:val="006B4D4C"/>
    <w:rsid w:val="006B51AB"/>
    <w:rsid w:val="006B6CFB"/>
    <w:rsid w:val="006B7A98"/>
    <w:rsid w:val="006C3029"/>
    <w:rsid w:val="006C5640"/>
    <w:rsid w:val="006D4998"/>
    <w:rsid w:val="006D5C61"/>
    <w:rsid w:val="006D65A3"/>
    <w:rsid w:val="006E1E22"/>
    <w:rsid w:val="006E325F"/>
    <w:rsid w:val="00720828"/>
    <w:rsid w:val="00726C62"/>
    <w:rsid w:val="00735C39"/>
    <w:rsid w:val="007379B4"/>
    <w:rsid w:val="007479C1"/>
    <w:rsid w:val="007543E6"/>
    <w:rsid w:val="00760ADF"/>
    <w:rsid w:val="007635BF"/>
    <w:rsid w:val="00773045"/>
    <w:rsid w:val="0077777E"/>
    <w:rsid w:val="00780BB9"/>
    <w:rsid w:val="00786B1D"/>
    <w:rsid w:val="00791781"/>
    <w:rsid w:val="007A0D1E"/>
    <w:rsid w:val="007A0FEC"/>
    <w:rsid w:val="007A2FC6"/>
    <w:rsid w:val="007A5CFF"/>
    <w:rsid w:val="007B3B80"/>
    <w:rsid w:val="007C474D"/>
    <w:rsid w:val="007D3928"/>
    <w:rsid w:val="007D3B2B"/>
    <w:rsid w:val="007E0D86"/>
    <w:rsid w:val="007E1492"/>
    <w:rsid w:val="00801F4F"/>
    <w:rsid w:val="00813FE9"/>
    <w:rsid w:val="00825535"/>
    <w:rsid w:val="00825A9D"/>
    <w:rsid w:val="00832230"/>
    <w:rsid w:val="00861345"/>
    <w:rsid w:val="00865168"/>
    <w:rsid w:val="008676E9"/>
    <w:rsid w:val="00871838"/>
    <w:rsid w:val="00875BF3"/>
    <w:rsid w:val="00890F54"/>
    <w:rsid w:val="0089391E"/>
    <w:rsid w:val="008A7496"/>
    <w:rsid w:val="008B0008"/>
    <w:rsid w:val="008C0B15"/>
    <w:rsid w:val="008C3874"/>
    <w:rsid w:val="008C3F63"/>
    <w:rsid w:val="008E4976"/>
    <w:rsid w:val="008E5A99"/>
    <w:rsid w:val="008F04BF"/>
    <w:rsid w:val="008F0552"/>
    <w:rsid w:val="008F3D20"/>
    <w:rsid w:val="008F4328"/>
    <w:rsid w:val="008F5124"/>
    <w:rsid w:val="00916251"/>
    <w:rsid w:val="009244D2"/>
    <w:rsid w:val="009267EF"/>
    <w:rsid w:val="00931B46"/>
    <w:rsid w:val="00946965"/>
    <w:rsid w:val="0094799A"/>
    <w:rsid w:val="00950F35"/>
    <w:rsid w:val="0095575B"/>
    <w:rsid w:val="00963536"/>
    <w:rsid w:val="00976E2C"/>
    <w:rsid w:val="009834FD"/>
    <w:rsid w:val="00984CEB"/>
    <w:rsid w:val="00986A08"/>
    <w:rsid w:val="009A404F"/>
    <w:rsid w:val="009D307E"/>
    <w:rsid w:val="009E07ED"/>
    <w:rsid w:val="009E2824"/>
    <w:rsid w:val="009E49B2"/>
    <w:rsid w:val="009F0566"/>
    <w:rsid w:val="00A00C88"/>
    <w:rsid w:val="00A142A7"/>
    <w:rsid w:val="00A24D52"/>
    <w:rsid w:val="00A3468F"/>
    <w:rsid w:val="00A356D5"/>
    <w:rsid w:val="00A428AF"/>
    <w:rsid w:val="00A44037"/>
    <w:rsid w:val="00A53183"/>
    <w:rsid w:val="00A653BB"/>
    <w:rsid w:val="00A734A9"/>
    <w:rsid w:val="00A842BD"/>
    <w:rsid w:val="00A87561"/>
    <w:rsid w:val="00A93C65"/>
    <w:rsid w:val="00A968ED"/>
    <w:rsid w:val="00AB3D14"/>
    <w:rsid w:val="00AB6A94"/>
    <w:rsid w:val="00AC0E4F"/>
    <w:rsid w:val="00AD5469"/>
    <w:rsid w:val="00AE441A"/>
    <w:rsid w:val="00AF4FF6"/>
    <w:rsid w:val="00AF6CBC"/>
    <w:rsid w:val="00B33DBF"/>
    <w:rsid w:val="00B51276"/>
    <w:rsid w:val="00B81943"/>
    <w:rsid w:val="00B8251A"/>
    <w:rsid w:val="00B861FD"/>
    <w:rsid w:val="00B900A3"/>
    <w:rsid w:val="00BA4E34"/>
    <w:rsid w:val="00BA57D5"/>
    <w:rsid w:val="00BB1BB1"/>
    <w:rsid w:val="00BB1CE6"/>
    <w:rsid w:val="00BD70FB"/>
    <w:rsid w:val="00BE09BB"/>
    <w:rsid w:val="00BE3667"/>
    <w:rsid w:val="00BF002A"/>
    <w:rsid w:val="00BF3A59"/>
    <w:rsid w:val="00C02C18"/>
    <w:rsid w:val="00C12F1A"/>
    <w:rsid w:val="00C439CB"/>
    <w:rsid w:val="00C709C3"/>
    <w:rsid w:val="00C7192A"/>
    <w:rsid w:val="00C80F63"/>
    <w:rsid w:val="00C81686"/>
    <w:rsid w:val="00C819F5"/>
    <w:rsid w:val="00C95E4C"/>
    <w:rsid w:val="00C96913"/>
    <w:rsid w:val="00C96A21"/>
    <w:rsid w:val="00C973ED"/>
    <w:rsid w:val="00CA3586"/>
    <w:rsid w:val="00CA41E1"/>
    <w:rsid w:val="00CA7C5E"/>
    <w:rsid w:val="00CB0E10"/>
    <w:rsid w:val="00CC231B"/>
    <w:rsid w:val="00CD0D31"/>
    <w:rsid w:val="00CD1DEB"/>
    <w:rsid w:val="00CD4535"/>
    <w:rsid w:val="00CD7220"/>
    <w:rsid w:val="00CE4978"/>
    <w:rsid w:val="00CE7ACF"/>
    <w:rsid w:val="00CF057F"/>
    <w:rsid w:val="00CF528E"/>
    <w:rsid w:val="00CF74ED"/>
    <w:rsid w:val="00D16CB7"/>
    <w:rsid w:val="00D218E1"/>
    <w:rsid w:val="00D24E37"/>
    <w:rsid w:val="00D33985"/>
    <w:rsid w:val="00D41CE6"/>
    <w:rsid w:val="00D56B4A"/>
    <w:rsid w:val="00D57B91"/>
    <w:rsid w:val="00D60356"/>
    <w:rsid w:val="00D60A75"/>
    <w:rsid w:val="00D64F6B"/>
    <w:rsid w:val="00D664F5"/>
    <w:rsid w:val="00D73151"/>
    <w:rsid w:val="00DB067D"/>
    <w:rsid w:val="00DB26A4"/>
    <w:rsid w:val="00DC5E34"/>
    <w:rsid w:val="00DD3889"/>
    <w:rsid w:val="00DD68ED"/>
    <w:rsid w:val="00DE2B5E"/>
    <w:rsid w:val="00DE312B"/>
    <w:rsid w:val="00DE3E36"/>
    <w:rsid w:val="00E03B56"/>
    <w:rsid w:val="00E0725E"/>
    <w:rsid w:val="00E107CD"/>
    <w:rsid w:val="00E12EC7"/>
    <w:rsid w:val="00E14F4C"/>
    <w:rsid w:val="00E1587A"/>
    <w:rsid w:val="00E24B91"/>
    <w:rsid w:val="00E307C9"/>
    <w:rsid w:val="00E4313B"/>
    <w:rsid w:val="00E44641"/>
    <w:rsid w:val="00E51C9A"/>
    <w:rsid w:val="00E51D06"/>
    <w:rsid w:val="00E529DC"/>
    <w:rsid w:val="00E56481"/>
    <w:rsid w:val="00E569A4"/>
    <w:rsid w:val="00E90B4F"/>
    <w:rsid w:val="00EA1A47"/>
    <w:rsid w:val="00EB0534"/>
    <w:rsid w:val="00EB20B2"/>
    <w:rsid w:val="00EB43B8"/>
    <w:rsid w:val="00EC5A37"/>
    <w:rsid w:val="00ED6740"/>
    <w:rsid w:val="00EE460A"/>
    <w:rsid w:val="00F04673"/>
    <w:rsid w:val="00F04720"/>
    <w:rsid w:val="00F05EF3"/>
    <w:rsid w:val="00F07CF8"/>
    <w:rsid w:val="00F344BB"/>
    <w:rsid w:val="00F3749A"/>
    <w:rsid w:val="00F4346F"/>
    <w:rsid w:val="00F5761C"/>
    <w:rsid w:val="00F659BA"/>
    <w:rsid w:val="00F66F37"/>
    <w:rsid w:val="00F80B10"/>
    <w:rsid w:val="00F81B5D"/>
    <w:rsid w:val="00F93DDE"/>
    <w:rsid w:val="00FA6797"/>
    <w:rsid w:val="00FB0B32"/>
    <w:rsid w:val="00FB3D62"/>
    <w:rsid w:val="00FE4F12"/>
    <w:rsid w:val="00FE6B72"/>
    <w:rsid w:val="00FE7790"/>
    <w:rsid w:val="00FF0236"/>
    <w:rsid w:val="00FF2607"/>
    <w:rsid w:val="00FF594D"/>
    <w:rsid w:val="01320FF1"/>
    <w:rsid w:val="028265A2"/>
    <w:rsid w:val="04AE367F"/>
    <w:rsid w:val="04F22252"/>
    <w:rsid w:val="05803986"/>
    <w:rsid w:val="060D0C74"/>
    <w:rsid w:val="06141C07"/>
    <w:rsid w:val="066F6E3E"/>
    <w:rsid w:val="07C714D1"/>
    <w:rsid w:val="092C2283"/>
    <w:rsid w:val="09B2653E"/>
    <w:rsid w:val="0A693D0C"/>
    <w:rsid w:val="0F4454DF"/>
    <w:rsid w:val="100E76C7"/>
    <w:rsid w:val="113C5528"/>
    <w:rsid w:val="1153341E"/>
    <w:rsid w:val="11D65543"/>
    <w:rsid w:val="14F02167"/>
    <w:rsid w:val="19591AD7"/>
    <w:rsid w:val="1ADE0F6E"/>
    <w:rsid w:val="1E025715"/>
    <w:rsid w:val="1E7C785D"/>
    <w:rsid w:val="1F477846"/>
    <w:rsid w:val="20016679"/>
    <w:rsid w:val="20624A17"/>
    <w:rsid w:val="217D0921"/>
    <w:rsid w:val="289B103B"/>
    <w:rsid w:val="2C05030B"/>
    <w:rsid w:val="2C2B78D7"/>
    <w:rsid w:val="2CED0725"/>
    <w:rsid w:val="2D102BA4"/>
    <w:rsid w:val="30BE612B"/>
    <w:rsid w:val="33AB50A9"/>
    <w:rsid w:val="37535C65"/>
    <w:rsid w:val="37853F01"/>
    <w:rsid w:val="382966CC"/>
    <w:rsid w:val="3AEC0481"/>
    <w:rsid w:val="3BDB3770"/>
    <w:rsid w:val="3F9B4224"/>
    <w:rsid w:val="4446145A"/>
    <w:rsid w:val="487815A6"/>
    <w:rsid w:val="4E910F86"/>
    <w:rsid w:val="4F12268E"/>
    <w:rsid w:val="56AE2F0A"/>
    <w:rsid w:val="58DD054E"/>
    <w:rsid w:val="59D34915"/>
    <w:rsid w:val="5CEE19DF"/>
    <w:rsid w:val="5D1F232D"/>
    <w:rsid w:val="5DAD6FEF"/>
    <w:rsid w:val="5DED3831"/>
    <w:rsid w:val="605012F0"/>
    <w:rsid w:val="605213E2"/>
    <w:rsid w:val="644714BB"/>
    <w:rsid w:val="694D4A9E"/>
    <w:rsid w:val="69793676"/>
    <w:rsid w:val="6A1057B2"/>
    <w:rsid w:val="6B1A74F3"/>
    <w:rsid w:val="6E0763D9"/>
    <w:rsid w:val="6E8360C1"/>
    <w:rsid w:val="6E876E96"/>
    <w:rsid w:val="6E933825"/>
    <w:rsid w:val="6F280D81"/>
    <w:rsid w:val="70B643EB"/>
    <w:rsid w:val="71363258"/>
    <w:rsid w:val="76465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kern w:val="2"/>
      <w:sz w:val="32"/>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rPr>
      <w:rFonts w:ascii="Calibri" w:hAnsi="Calibri" w:eastAsia="宋体"/>
      <w:sz w:val="21"/>
      <w:szCs w:val="24"/>
    </w:rPr>
  </w:style>
  <w:style w:type="paragraph" w:styleId="5">
    <w:name w:val="Body Text"/>
    <w:basedOn w:val="1"/>
    <w:link w:val="19"/>
    <w:qFormat/>
    <w:uiPriority w:val="0"/>
    <w:pPr>
      <w:spacing w:line="0" w:lineRule="atLeast"/>
    </w:pPr>
    <w:rPr>
      <w:rFonts w:eastAsia="小标宋"/>
      <w:sz w:val="44"/>
      <w:szCs w:val="32"/>
    </w:rPr>
  </w:style>
  <w:style w:type="paragraph" w:styleId="6">
    <w:name w:val="Body Text Indent"/>
    <w:basedOn w:val="1"/>
    <w:link w:val="22"/>
    <w:semiHidden/>
    <w:unhideWhenUsed/>
    <w:qFormat/>
    <w:uiPriority w:val="99"/>
    <w:pPr>
      <w:spacing w:after="120"/>
      <w:ind w:left="420" w:leftChars="200"/>
    </w:pPr>
  </w:style>
  <w:style w:type="paragraph" w:styleId="7">
    <w:name w:val="Date"/>
    <w:basedOn w:val="1"/>
    <w:next w:val="1"/>
    <w:link w:val="20"/>
    <w:semiHidden/>
    <w:unhideWhenUsed/>
    <w:qFormat/>
    <w:uiPriority w:val="99"/>
    <w:pPr>
      <w:ind w:left="100" w:leftChars="2500"/>
    </w:p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eastAsia="宋体" w:cs="宋体"/>
      <w:kern w:val="0"/>
      <w:sz w:val="24"/>
      <w:szCs w:val="24"/>
    </w:rPr>
  </w:style>
  <w:style w:type="paragraph" w:styleId="11">
    <w:name w:val="Body Text First Indent 2"/>
    <w:basedOn w:val="6"/>
    <w:qFormat/>
    <w:uiPriority w:val="0"/>
    <w:pPr>
      <w:spacing w:after="0"/>
      <w:ind w:firstLine="420" w:firstLineChars="200"/>
    </w:pPr>
    <w:rPr>
      <w:szCs w:val="21"/>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character" w:customStyle="1" w:styleId="17">
    <w:name w:val="页眉 Char"/>
    <w:link w:val="9"/>
    <w:semiHidden/>
    <w:qFormat/>
    <w:uiPriority w:val="99"/>
    <w:rPr>
      <w:rFonts w:ascii="宋体" w:hAnsi="宋体" w:eastAsia="方正仿宋简体"/>
      <w:sz w:val="18"/>
      <w:szCs w:val="18"/>
    </w:rPr>
  </w:style>
  <w:style w:type="character" w:customStyle="1" w:styleId="18">
    <w:name w:val="页脚 Char"/>
    <w:link w:val="8"/>
    <w:qFormat/>
    <w:uiPriority w:val="99"/>
    <w:rPr>
      <w:rFonts w:ascii="宋体" w:hAnsi="宋体" w:eastAsia="方正仿宋简体"/>
      <w:sz w:val="18"/>
      <w:szCs w:val="18"/>
    </w:rPr>
  </w:style>
  <w:style w:type="character" w:customStyle="1" w:styleId="19">
    <w:name w:val="正文文本 Char"/>
    <w:link w:val="5"/>
    <w:qFormat/>
    <w:uiPriority w:val="0"/>
    <w:rPr>
      <w:rFonts w:ascii="宋体" w:hAnsi="宋体" w:eastAsia="小标宋" w:cs="Times New Roman"/>
      <w:sz w:val="44"/>
      <w:szCs w:val="32"/>
    </w:rPr>
  </w:style>
  <w:style w:type="character" w:customStyle="1" w:styleId="20">
    <w:name w:val="日期 Char"/>
    <w:basedOn w:val="14"/>
    <w:link w:val="7"/>
    <w:semiHidden/>
    <w:qFormat/>
    <w:uiPriority w:val="99"/>
    <w:rPr>
      <w:rFonts w:ascii="宋体" w:hAnsi="宋体" w:eastAsia="仿宋"/>
      <w:kern w:val="2"/>
      <w:sz w:val="32"/>
      <w:szCs w:val="22"/>
    </w:rPr>
  </w:style>
  <w:style w:type="character" w:customStyle="1" w:styleId="21">
    <w:name w:val="标题 1 Char"/>
    <w:basedOn w:val="14"/>
    <w:link w:val="2"/>
    <w:qFormat/>
    <w:uiPriority w:val="9"/>
    <w:rPr>
      <w:rFonts w:asciiTheme="minorHAnsi" w:hAnsiTheme="minorHAnsi" w:eastAsiaTheme="minorEastAsia" w:cstheme="minorBidi"/>
      <w:b/>
      <w:bCs/>
      <w:kern w:val="44"/>
      <w:sz w:val="44"/>
      <w:szCs w:val="44"/>
    </w:rPr>
  </w:style>
  <w:style w:type="character" w:customStyle="1" w:styleId="22">
    <w:name w:val="正文文本缩进 Char"/>
    <w:basedOn w:val="14"/>
    <w:link w:val="6"/>
    <w:semiHidden/>
    <w:qFormat/>
    <w:uiPriority w:val="99"/>
    <w:rPr>
      <w:rFonts w:ascii="宋体" w:hAnsi="宋体" w:eastAsia="仿宋"/>
      <w:kern w:val="2"/>
      <w:sz w:val="32"/>
      <w:szCs w:val="22"/>
    </w:rPr>
  </w:style>
  <w:style w:type="character" w:customStyle="1" w:styleId="23">
    <w:name w:val="批注文字 Char"/>
    <w:basedOn w:val="14"/>
    <w:link w:val="4"/>
    <w:qFormat/>
    <w:uiPriority w:val="0"/>
    <w:rPr>
      <w:kern w:val="2"/>
      <w:sz w:val="21"/>
      <w:szCs w:val="24"/>
    </w:rPr>
  </w:style>
  <w:style w:type="character" w:customStyle="1" w:styleId="24">
    <w:name w:val="批注文字 Char1"/>
    <w:basedOn w:val="14"/>
    <w:link w:val="4"/>
    <w:semiHidden/>
    <w:qFormat/>
    <w:uiPriority w:val="99"/>
    <w:rPr>
      <w:rFonts w:ascii="宋体" w:hAnsi="宋体" w:eastAsia="仿宋"/>
      <w:kern w:val="2"/>
      <w:sz w:val="32"/>
      <w:szCs w:val="22"/>
    </w:rPr>
  </w:style>
  <w:style w:type="paragraph" w:customStyle="1" w:styleId="25">
    <w:name w:val="p0"/>
    <w:basedOn w:val="1"/>
    <w:qFormat/>
    <w:uiPriority w:val="0"/>
    <w:rPr>
      <w:rFonts w:eastAsia="宋体"/>
      <w:kern w:val="0"/>
      <w:szCs w:val="21"/>
    </w:rPr>
  </w:style>
  <w:style w:type="paragraph" w:customStyle="1" w:styleId="26">
    <w:name w:val="Default"/>
    <w:unhideWhenUsed/>
    <w:qFormat/>
    <w:uiPriority w:val="99"/>
    <w:pPr>
      <w:widowControl w:val="0"/>
      <w:autoSpaceDE w:val="0"/>
      <w:autoSpaceDN w:val="0"/>
      <w:adjustRightInd w:val="0"/>
      <w:spacing w:beforeLines="0" w:afterLines="0"/>
    </w:pPr>
    <w:rPr>
      <w:rFonts w:hint="eastAsia" w:ascii="方正小标宋简体" w:hAnsi="方正小标宋简体" w:eastAsia="方正小标宋简体" w:cs="Times New Roman"/>
      <w:color w:val="000000"/>
      <w:sz w:val="24"/>
      <w:szCs w:val="22"/>
    </w:rPr>
  </w:style>
  <w:style w:type="character" w:customStyle="1" w:styleId="27">
    <w:name w:val="font11"/>
    <w:basedOn w:val="14"/>
    <w:qFormat/>
    <w:uiPriority w:val="0"/>
    <w:rPr>
      <w:rFonts w:hint="eastAsia" w:ascii="宋体" w:hAnsi="宋体" w:eastAsia="宋体" w:cs="宋体"/>
      <w:color w:val="000000"/>
      <w:sz w:val="30"/>
      <w:szCs w:val="30"/>
      <w:u w:val="single"/>
    </w:rPr>
  </w:style>
  <w:style w:type="character" w:customStyle="1" w:styleId="28">
    <w:name w:val="font51"/>
    <w:basedOn w:val="14"/>
    <w:qFormat/>
    <w:uiPriority w:val="0"/>
    <w:rPr>
      <w:rFonts w:hint="eastAsia" w:ascii="宋体" w:hAnsi="宋体" w:eastAsia="宋体" w:cs="宋体"/>
      <w:color w:val="000000"/>
      <w:sz w:val="30"/>
      <w:szCs w:val="30"/>
      <w:u w:val="none"/>
    </w:rPr>
  </w:style>
  <w:style w:type="character" w:customStyle="1" w:styleId="29">
    <w:name w:val="font6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default" w:ascii="Wingdings" w:hAnsi="Wingdings" w:cs="Wingding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textRotate="1"/>
    <customShpInfo spid="_x0000_s2049" textRotate="1"/>
    <customShpInfo spid="_x0000_s2053" textRotate="1"/>
    <customShpInfo spid="_x0000_s1036"/>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03982-47B1-41B9-A36D-E59475E8A9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4308</Words>
  <Characters>4356</Characters>
  <Lines>2</Lines>
  <Paragraphs>1</Paragraphs>
  <TotalTime>8</TotalTime>
  <ScaleCrop>false</ScaleCrop>
  <LinksUpToDate>false</LinksUpToDate>
  <CharactersWithSpaces>4467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2020-08-18T06:54:00Z</dcterms:created>
  <dc:creator>区农林局收发员</dc:creator>
  <cp:lastModifiedBy>奇洛元维斯</cp:lastModifiedBy>
  <cp:lastPrinted>2022-03-08T03:01:00Z</cp:lastPrinted>
  <dcterms:modified xsi:type="dcterms:W3CDTF">2022-05-19T07:29:35Z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CFC38E1FA0D246D690644FC16E692F9A</vt:lpwstr>
  </property>
</Properties>
</file>