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116" w:type="pct"/>
        <w:tblInd w:w="0" w:type="dxa"/>
        <w:tblLayout w:type="autofit"/>
        <w:tblCellMar>
          <w:top w:w="0" w:type="dxa"/>
          <w:left w:w="0" w:type="dxa"/>
          <w:bottom w:w="0" w:type="dxa"/>
          <w:right w:w="0" w:type="dxa"/>
        </w:tblCellMar>
      </w:tblPr>
      <w:tblGrid>
        <w:gridCol w:w="500"/>
        <w:gridCol w:w="1130"/>
        <w:gridCol w:w="775"/>
        <w:gridCol w:w="1350"/>
        <w:gridCol w:w="3677"/>
        <w:gridCol w:w="1084"/>
        <w:gridCol w:w="1148"/>
        <w:gridCol w:w="3522"/>
        <w:gridCol w:w="412"/>
        <w:gridCol w:w="412"/>
        <w:gridCol w:w="384"/>
        <w:gridCol w:w="393"/>
        <w:gridCol w:w="486"/>
        <w:gridCol w:w="514"/>
      </w:tblGrid>
      <w:tr>
        <w:tblPrEx>
          <w:tblCellMar>
            <w:top w:w="0" w:type="dxa"/>
            <w:left w:w="0" w:type="dxa"/>
            <w:bottom w:w="0" w:type="dxa"/>
            <w:right w:w="0" w:type="dxa"/>
          </w:tblCellMar>
        </w:tblPrEx>
        <w:trPr>
          <w:trHeight w:val="826" w:hRule="atLeast"/>
        </w:trPr>
        <w:tc>
          <w:tcPr>
            <w:tcW w:w="5000" w:type="pct"/>
            <w:gridSpan w:val="14"/>
            <w:tcBorders>
              <w:top w:val="nil"/>
              <w:left w:val="nil"/>
              <w:bottom w:val="single" w:color="auto" w:sz="4" w:space="0"/>
              <w:right w:val="nil"/>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color w:val="000000"/>
                <w:sz w:val="22"/>
                <w:szCs w:val="22"/>
              </w:rPr>
            </w:pPr>
            <w:r>
              <w:rPr>
                <w:rFonts w:hint="eastAsia" w:ascii="方正小标宋简体" w:hAnsi="方正小标宋简体" w:eastAsia="方正小标宋简体" w:cs="方正小标宋简体"/>
                <w:color w:val="000000"/>
                <w:sz w:val="36"/>
                <w:szCs w:val="36"/>
              </w:rPr>
              <w:t>（九）就业创业领域基层政务公开标准目录</w:t>
            </w:r>
          </w:p>
        </w:tc>
      </w:tr>
      <w:tr>
        <w:tblPrEx>
          <w:tblCellMar>
            <w:top w:w="0" w:type="dxa"/>
            <w:left w:w="0" w:type="dxa"/>
            <w:bottom w:w="0" w:type="dxa"/>
            <w:right w:w="0" w:type="dxa"/>
          </w:tblCellMar>
        </w:tblPrEx>
        <w:trPr>
          <w:trHeight w:val="284" w:hRule="atLeast"/>
        </w:trPr>
        <w:tc>
          <w:tcPr>
            <w:tcW w:w="161"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黑体" w:hAnsi="黑体" w:eastAsia="黑体" w:cs="黑体"/>
                <w:sz w:val="22"/>
                <w:szCs w:val="22"/>
              </w:rPr>
            </w:pPr>
            <w:r>
              <w:rPr>
                <w:rFonts w:hint="eastAsia" w:ascii="黑体" w:hAnsi="黑体" w:eastAsia="黑体" w:cs="黑体"/>
                <w:sz w:val="22"/>
                <w:szCs w:val="22"/>
              </w:rPr>
              <w:t>序号</w:t>
            </w:r>
          </w:p>
        </w:tc>
        <w:tc>
          <w:tcPr>
            <w:tcW w:w="574"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黑体" w:hAnsi="黑体" w:eastAsia="黑体" w:cs="黑体"/>
                <w:sz w:val="22"/>
                <w:szCs w:val="22"/>
              </w:rPr>
            </w:pPr>
            <w:r>
              <w:rPr>
                <w:rFonts w:hint="eastAsia" w:ascii="黑体" w:hAnsi="黑体" w:eastAsia="黑体" w:cs="黑体"/>
                <w:sz w:val="22"/>
                <w:szCs w:val="22"/>
              </w:rPr>
              <w:t>公开事项</w:t>
            </w:r>
          </w:p>
        </w:tc>
        <w:tc>
          <w:tcPr>
            <w:tcW w:w="430"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黑体" w:hAnsi="黑体" w:eastAsia="黑体" w:cs="黑体"/>
                <w:sz w:val="22"/>
                <w:szCs w:val="22"/>
              </w:rPr>
            </w:pPr>
            <w:r>
              <w:rPr>
                <w:rFonts w:hint="eastAsia" w:ascii="黑体" w:hAnsi="黑体" w:eastAsia="黑体" w:cs="黑体"/>
                <w:sz w:val="22"/>
                <w:szCs w:val="22"/>
              </w:rPr>
              <w:t>公开内容</w:t>
            </w:r>
            <w:r>
              <w:rPr>
                <w:rFonts w:hint="eastAsia" w:ascii="黑体" w:hAnsi="黑体" w:eastAsia="黑体" w:cs="黑体"/>
                <w:sz w:val="22"/>
                <w:szCs w:val="22"/>
              </w:rPr>
              <w:br w:type="textWrapping"/>
            </w:r>
            <w:r>
              <w:rPr>
                <w:rFonts w:hint="eastAsia" w:ascii="黑体" w:hAnsi="黑体" w:eastAsia="黑体" w:cs="黑体"/>
                <w:sz w:val="22"/>
                <w:szCs w:val="22"/>
              </w:rPr>
              <w:t>（要素）</w:t>
            </w:r>
          </w:p>
        </w:tc>
        <w:tc>
          <w:tcPr>
            <w:tcW w:w="1167"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黑体" w:hAnsi="黑体" w:eastAsia="黑体" w:cs="黑体"/>
                <w:sz w:val="22"/>
                <w:szCs w:val="22"/>
              </w:rPr>
            </w:pPr>
            <w:r>
              <w:rPr>
                <w:rFonts w:hint="eastAsia" w:ascii="黑体" w:hAnsi="黑体" w:eastAsia="黑体" w:cs="黑体"/>
                <w:sz w:val="22"/>
                <w:szCs w:val="22"/>
              </w:rPr>
              <w:t>公开依据</w:t>
            </w:r>
          </w:p>
        </w:tc>
        <w:tc>
          <w:tcPr>
            <w:tcW w:w="34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黑体" w:hAnsi="黑体" w:eastAsia="黑体" w:cs="黑体"/>
                <w:sz w:val="22"/>
                <w:szCs w:val="22"/>
              </w:rPr>
            </w:pPr>
            <w:r>
              <w:rPr>
                <w:rFonts w:hint="eastAsia" w:ascii="黑体" w:hAnsi="黑体" w:eastAsia="黑体" w:cs="黑体"/>
                <w:sz w:val="22"/>
                <w:szCs w:val="22"/>
              </w:rPr>
              <w:t>公开时限</w:t>
            </w:r>
          </w:p>
        </w:tc>
        <w:tc>
          <w:tcPr>
            <w:tcW w:w="36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黑体" w:hAnsi="黑体" w:eastAsia="黑体" w:cs="黑体"/>
                <w:sz w:val="22"/>
                <w:szCs w:val="22"/>
              </w:rPr>
            </w:pPr>
            <w:r>
              <w:rPr>
                <w:rFonts w:hint="eastAsia" w:ascii="黑体" w:hAnsi="黑体" w:eastAsia="黑体" w:cs="黑体"/>
                <w:sz w:val="22"/>
                <w:szCs w:val="22"/>
              </w:rPr>
              <w:t>公开主体</w:t>
            </w:r>
          </w:p>
        </w:tc>
        <w:tc>
          <w:tcPr>
            <w:tcW w:w="1118"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黑体" w:hAnsi="黑体" w:eastAsia="黑体" w:cs="黑体"/>
                <w:sz w:val="22"/>
                <w:szCs w:val="22"/>
              </w:rPr>
            </w:pPr>
            <w:r>
              <w:rPr>
                <w:rFonts w:hint="eastAsia" w:ascii="黑体" w:hAnsi="黑体" w:eastAsia="黑体" w:cs="黑体"/>
                <w:sz w:val="22"/>
                <w:szCs w:val="22"/>
              </w:rPr>
              <w:t>公开渠道和载体</w:t>
            </w:r>
          </w:p>
        </w:tc>
        <w:tc>
          <w:tcPr>
            <w:tcW w:w="2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黑体" w:hAnsi="黑体" w:eastAsia="黑体" w:cs="黑体"/>
                <w:sz w:val="22"/>
                <w:szCs w:val="22"/>
              </w:rPr>
            </w:pPr>
            <w:r>
              <w:rPr>
                <w:rFonts w:hint="eastAsia" w:ascii="黑体" w:hAnsi="黑体" w:eastAsia="黑体" w:cs="黑体"/>
                <w:sz w:val="22"/>
                <w:szCs w:val="22"/>
              </w:rPr>
              <w:t>公开对象</w:t>
            </w:r>
          </w:p>
        </w:tc>
        <w:tc>
          <w:tcPr>
            <w:tcW w:w="25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黑体" w:hAnsi="黑体" w:eastAsia="黑体" w:cs="黑体"/>
                <w:sz w:val="22"/>
                <w:szCs w:val="22"/>
              </w:rPr>
            </w:pPr>
            <w:r>
              <w:rPr>
                <w:rFonts w:hint="eastAsia" w:ascii="黑体" w:hAnsi="黑体" w:eastAsia="黑体" w:cs="黑体"/>
                <w:sz w:val="22"/>
                <w:szCs w:val="22"/>
              </w:rPr>
              <w:t>公开方式</w:t>
            </w:r>
          </w:p>
        </w:tc>
        <w:tc>
          <w:tcPr>
            <w:tcW w:w="314"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黑体" w:hAnsi="黑体" w:eastAsia="黑体" w:cs="黑体"/>
                <w:sz w:val="22"/>
                <w:szCs w:val="22"/>
              </w:rPr>
            </w:pPr>
            <w:r>
              <w:rPr>
                <w:rFonts w:hint="eastAsia" w:ascii="黑体" w:hAnsi="黑体" w:eastAsia="黑体" w:cs="黑体"/>
                <w:sz w:val="22"/>
                <w:szCs w:val="22"/>
              </w:rPr>
              <w:t>公开层级</w:t>
            </w:r>
          </w:p>
        </w:tc>
      </w:tr>
      <w:tr>
        <w:tblPrEx>
          <w:tblCellMar>
            <w:top w:w="0" w:type="dxa"/>
            <w:left w:w="0" w:type="dxa"/>
            <w:bottom w:w="0" w:type="dxa"/>
            <w:right w:w="0" w:type="dxa"/>
          </w:tblCellMar>
        </w:tblPrEx>
        <w:trPr>
          <w:trHeight w:val="1437" w:hRule="atLeast"/>
        </w:trPr>
        <w:tc>
          <w:tcPr>
            <w:tcW w:w="161"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黑体" w:hAnsi="黑体" w:eastAsia="黑体" w:cs="黑体"/>
                <w:sz w:val="22"/>
                <w:szCs w:val="22"/>
              </w:rPr>
            </w:pPr>
          </w:p>
        </w:tc>
        <w:tc>
          <w:tcPr>
            <w:tcW w:w="3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黑体" w:hAnsi="黑体" w:eastAsia="黑体" w:cs="黑体"/>
                <w:sz w:val="22"/>
                <w:szCs w:val="22"/>
              </w:rPr>
            </w:pPr>
            <w:r>
              <w:rPr>
                <w:rFonts w:hint="eastAsia" w:ascii="黑体" w:hAnsi="黑体" w:eastAsia="黑体" w:cs="黑体"/>
                <w:sz w:val="22"/>
                <w:szCs w:val="22"/>
              </w:rPr>
              <w:t>一级</w:t>
            </w:r>
          </w:p>
          <w:p>
            <w:pPr>
              <w:jc w:val="center"/>
              <w:textAlignment w:val="center"/>
              <w:rPr>
                <w:rFonts w:hint="eastAsia" w:ascii="黑体" w:hAnsi="黑体" w:eastAsia="黑体" w:cs="黑体"/>
                <w:sz w:val="22"/>
                <w:szCs w:val="22"/>
              </w:rPr>
            </w:pPr>
            <w:r>
              <w:rPr>
                <w:rFonts w:hint="eastAsia" w:ascii="黑体" w:hAnsi="黑体" w:eastAsia="黑体" w:cs="黑体"/>
                <w:sz w:val="22"/>
                <w:szCs w:val="22"/>
              </w:rPr>
              <w:t>事项</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黑体" w:hAnsi="黑体" w:eastAsia="黑体" w:cs="黑体"/>
                <w:sz w:val="22"/>
                <w:szCs w:val="22"/>
              </w:rPr>
            </w:pPr>
            <w:r>
              <w:rPr>
                <w:rFonts w:hint="eastAsia" w:ascii="黑体" w:hAnsi="黑体" w:eastAsia="黑体" w:cs="黑体"/>
                <w:sz w:val="22"/>
                <w:szCs w:val="22"/>
              </w:rPr>
              <w:t>二级</w:t>
            </w:r>
          </w:p>
          <w:p>
            <w:pPr>
              <w:jc w:val="center"/>
              <w:textAlignment w:val="center"/>
              <w:rPr>
                <w:rFonts w:hint="eastAsia" w:ascii="黑体" w:hAnsi="黑体" w:eastAsia="黑体" w:cs="黑体"/>
                <w:sz w:val="22"/>
                <w:szCs w:val="22"/>
              </w:rPr>
            </w:pPr>
            <w:r>
              <w:rPr>
                <w:rFonts w:hint="eastAsia" w:ascii="黑体" w:hAnsi="黑体" w:eastAsia="黑体" w:cs="黑体"/>
                <w:sz w:val="22"/>
                <w:szCs w:val="22"/>
              </w:rPr>
              <w:t>事项</w:t>
            </w:r>
          </w:p>
        </w:tc>
        <w:tc>
          <w:tcPr>
            <w:tcW w:w="430"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sz w:val="22"/>
                <w:szCs w:val="22"/>
              </w:rPr>
            </w:pPr>
          </w:p>
        </w:tc>
        <w:tc>
          <w:tcPr>
            <w:tcW w:w="1167"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sz w:val="22"/>
                <w:szCs w:val="22"/>
              </w:rPr>
            </w:pPr>
          </w:p>
        </w:tc>
        <w:tc>
          <w:tcPr>
            <w:tcW w:w="34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sz w:val="22"/>
                <w:szCs w:val="22"/>
              </w:rPr>
            </w:pPr>
          </w:p>
        </w:tc>
        <w:tc>
          <w:tcPr>
            <w:tcW w:w="36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sz w:val="22"/>
                <w:szCs w:val="22"/>
              </w:rPr>
            </w:pPr>
          </w:p>
        </w:tc>
        <w:tc>
          <w:tcPr>
            <w:tcW w:w="1118"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黑体"/>
                <w:sz w:val="22"/>
                <w:szCs w:val="22"/>
              </w:rPr>
            </w:pP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黑体" w:hAnsi="黑体" w:eastAsia="黑体" w:cs="黑体"/>
                <w:sz w:val="22"/>
                <w:szCs w:val="22"/>
              </w:rPr>
            </w:pPr>
            <w:r>
              <w:rPr>
                <w:rFonts w:hint="eastAsia" w:ascii="黑体" w:hAnsi="黑体" w:eastAsia="黑体" w:cs="黑体"/>
                <w:sz w:val="22"/>
                <w:szCs w:val="22"/>
              </w:rPr>
              <w:t>全社会</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黑体" w:hAnsi="黑体" w:eastAsia="黑体" w:cs="黑体"/>
                <w:sz w:val="22"/>
                <w:szCs w:val="22"/>
              </w:rPr>
            </w:pPr>
            <w:r>
              <w:rPr>
                <w:rFonts w:hint="eastAsia" w:ascii="黑体" w:hAnsi="黑体" w:eastAsia="黑体" w:cs="黑体"/>
                <w:sz w:val="22"/>
                <w:szCs w:val="22"/>
              </w:rPr>
              <w:t>特定群体</w:t>
            </w: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黑体" w:hAnsi="黑体" w:eastAsia="黑体" w:cs="黑体"/>
                <w:sz w:val="22"/>
                <w:szCs w:val="22"/>
              </w:rPr>
            </w:pPr>
            <w:r>
              <w:rPr>
                <w:rFonts w:hint="eastAsia" w:ascii="黑体" w:hAnsi="黑体" w:eastAsia="黑体" w:cs="黑体"/>
                <w:sz w:val="22"/>
                <w:szCs w:val="22"/>
              </w:rPr>
              <w:t>主动</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黑体" w:hAnsi="黑体" w:eastAsia="黑体" w:cs="黑体"/>
                <w:sz w:val="22"/>
                <w:szCs w:val="22"/>
              </w:rPr>
            </w:pPr>
            <w:r>
              <w:rPr>
                <w:rFonts w:hint="eastAsia" w:ascii="黑体" w:hAnsi="黑体" w:eastAsia="黑体" w:cs="黑体"/>
                <w:sz w:val="22"/>
                <w:szCs w:val="22"/>
              </w:rPr>
              <w:t>依申请</w:t>
            </w: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黑体" w:hAnsi="黑体" w:eastAsia="黑体" w:cs="黑体"/>
                <w:sz w:val="22"/>
                <w:szCs w:val="22"/>
              </w:rPr>
            </w:pPr>
            <w:r>
              <w:rPr>
                <w:rFonts w:hint="eastAsia" w:ascii="黑体" w:hAnsi="黑体" w:eastAsia="黑体" w:cs="黑体"/>
                <w:sz w:val="22"/>
                <w:szCs w:val="22"/>
              </w:rPr>
              <w:t>县级</w:t>
            </w:r>
          </w:p>
        </w:tc>
        <w:tc>
          <w:tcPr>
            <w:tcW w:w="15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黑体" w:hAnsi="黑体" w:eastAsia="黑体" w:cs="黑体"/>
                <w:sz w:val="22"/>
                <w:szCs w:val="22"/>
              </w:rPr>
            </w:pPr>
            <w:r>
              <w:rPr>
                <w:rFonts w:hint="eastAsia" w:ascii="黑体" w:hAnsi="黑体" w:eastAsia="黑体" w:cs="黑体"/>
                <w:sz w:val="22"/>
                <w:szCs w:val="22"/>
              </w:rPr>
              <w:t>乡级</w:t>
            </w:r>
          </w:p>
        </w:tc>
      </w:tr>
      <w:tr>
        <w:tblPrEx>
          <w:tblCellMar>
            <w:top w:w="0" w:type="dxa"/>
            <w:left w:w="0" w:type="dxa"/>
            <w:bottom w:w="0" w:type="dxa"/>
            <w:right w:w="0" w:type="dxa"/>
          </w:tblCellMar>
        </w:tblPrEx>
        <w:trPr>
          <w:trHeight w:val="4379"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32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1.就业信息服务</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1.1就业创业政策法规</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1.就业创业政策项目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2.对象范围</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3.政策申请条件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4.政策申请材料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Style w:val="6"/>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p>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3836"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1.2岗位信息发布</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1.招聘单位</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2.岗位要求</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3.福利待遇</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382"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1.3求职信息登记</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1.服务对象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2.提交材料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4.服务时间</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5.服务地点（方式）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264"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1.4职业培训信息发布</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1.培训项目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2.对象范围</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3.培训内容</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4.培训课时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5.授课地点</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7.报名材料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8.报名地点（方式）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382"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32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2.职业介绍、职业指导</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2.1职业介绍</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1.服务内容</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2.服务对象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3.提交材料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4.服务时间</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5.服务地点（方式）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264"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2.2职业指导</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1.服务内容</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2.服务对象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3.提交材料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4.服务时间</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5.服务地点（方式）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382"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2.3创业开业指导</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1.服务内容</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2.服务对象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3.提交材料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4.服务时间</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5.服务地点（方式）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121"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8</w:t>
            </w:r>
          </w:p>
        </w:tc>
        <w:tc>
          <w:tcPr>
            <w:tcW w:w="3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3.公共就业服务专项活动</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3.1公共就业服务专项活动</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1.活动通知</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2.活动时间</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3.参与方式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4.相关材料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5.活动地址</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407"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w:t>
            </w:r>
          </w:p>
        </w:tc>
        <w:tc>
          <w:tcPr>
            <w:tcW w:w="32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4.就业失业登记</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4.1失业登记</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1.对象范围</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2.申请人权利和义务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8.办理结果告知方式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407"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4.2就业登记</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1.对象范围</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2.办理条件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3.办理材料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7.办理结果告知方式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398"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11</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4.3《就业创业证》申领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1.对象范围</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2.证件使用注意事项</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3.申领条件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4.申领材料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8.证件送达方式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264"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12</w:t>
            </w:r>
          </w:p>
        </w:tc>
        <w:tc>
          <w:tcPr>
            <w:tcW w:w="326"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5.创业服务</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5.1创业培训补贴申领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9.办理结果告知方式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3954"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13</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5.2一次性创业资助申领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9.办理结果告知方式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3836"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14</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5.3租金补贴申领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9.办理结果告知方式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3954"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15</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5.4创业带动就业补贴申领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9.办理结果告知方式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550"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16</w:t>
            </w:r>
          </w:p>
        </w:tc>
        <w:tc>
          <w:tcPr>
            <w:tcW w:w="326"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5.创业服务</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5.5创业孵化补贴申领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9.办理结果告知方式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3.《人力资源市场暂行条例》（中华人民共和国国务院令第700号）4.《广东省实施〈中华人民共和国就业促进法〉办法》（2009年11月</w:t>
            </w:r>
            <w:r>
              <w:rPr>
                <w:rFonts w:hint="eastAsia" w:ascii="仿宋_GB2312" w:hAnsi="仿宋_GB2312" w:eastAsia="仿宋_GB2312" w:cs="仿宋_GB2312"/>
                <w:sz w:val="22"/>
                <w:szCs w:val="22"/>
                <w:lang w:val="en-US" w:eastAsia="zh-CN"/>
              </w:rPr>
              <w:t>26</w:t>
            </w:r>
            <w:r>
              <w:rPr>
                <w:rFonts w:hint="eastAsia" w:ascii="仿宋_GB2312" w:hAnsi="仿宋_GB2312" w:eastAsia="仿宋_GB2312" w:cs="仿宋_GB2312"/>
                <w:sz w:val="22"/>
                <w:szCs w:val="22"/>
              </w:rPr>
              <w:t xml:space="preserve">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264"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17</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5.6创业担保贷款申请</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3.贷款额度</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9.办理结果告知方式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121"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18</w:t>
            </w:r>
          </w:p>
        </w:tc>
        <w:tc>
          <w:tcPr>
            <w:tcW w:w="3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6.对就业困难人员（含建档立卡贫困劳动力）实施就业援助</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6.1就业困难人员认定</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2.对象范围</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8.办理结果告知方式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407"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19</w:t>
            </w:r>
          </w:p>
        </w:tc>
        <w:tc>
          <w:tcPr>
            <w:tcW w:w="32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6.对就业困难人员（含建档立卡贫困劳动力）实施就业援助</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6.2就业困难人员社会保险补贴申领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9.办理结果告知方式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407"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20</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6.3一般性岗位补贴申领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9.办理结果告知方式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3978"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21</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6.4公益性岗位补贴申领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9.办理结果告知方式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264"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22</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6.5公益性岗位社保个人缴费补贴申领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9.办理结果告知方式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264"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23</w:t>
            </w:r>
          </w:p>
        </w:tc>
        <w:tc>
          <w:tcPr>
            <w:tcW w:w="32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6.对就业困难人员（含建档立卡贫困劳动力）实施就业援助</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6.6求职创业补贴申领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9.办理结果告知方式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264"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24</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6.7吸纳建档立卡贫困劳动力就业补助和省级示范性就业扶贫基地补助申领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3.奖补标准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9.办理结果告知方式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121"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25</w:t>
            </w:r>
          </w:p>
        </w:tc>
        <w:tc>
          <w:tcPr>
            <w:tcW w:w="32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7.高校毕业生就业服务</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7.1高等学校等毕业生接收手续办理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2.对象范围</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3.办理条件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4.办理材料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8.办理结果告知方式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264"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26</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7.2吸纳应届高校毕业生社保补贴申领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407"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27</w:t>
            </w:r>
          </w:p>
        </w:tc>
        <w:tc>
          <w:tcPr>
            <w:tcW w:w="32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7.高校毕业生就业服务</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7.3应届高校毕业生到基层就业补贴申领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407"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28</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7.4高校毕业生基层就业岗位补贴申领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3.《人力资源市场暂行条例》（中华人民共和国国务院令第700号）4.《广东省实施〈中华人民共和国就业促进法〉办法》（2009年11月29日广东省第十一届人民代表大会常务委员会第十四次会议通过）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407"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29</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7.5求职创业补贴申领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3836"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30</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7.6高校毕业生职业培训补贴申领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3836"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31</w:t>
            </w:r>
          </w:p>
        </w:tc>
        <w:tc>
          <w:tcPr>
            <w:tcW w:w="32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7.高校毕业生就业服务</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7.7就业见习补贴申领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3978"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32</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7.8就业见习生活费补贴申领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264"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33</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7.9见习留用补贴申领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121"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34</w:t>
            </w:r>
          </w:p>
        </w:tc>
        <w:tc>
          <w:tcPr>
            <w:tcW w:w="3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8.流动人员人事档案管理服务</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8.1流动人员人事档案管理服务</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1.服务内容</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2.服务对象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3.提交材料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4.服务时间</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5.服务地点（方式）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023"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35</w:t>
            </w:r>
          </w:p>
        </w:tc>
        <w:tc>
          <w:tcPr>
            <w:tcW w:w="326"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9.其他补贴申领服务</w:t>
            </w: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9.1职业介绍补贴申领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3.《人力资源市场暂行条例》（中华人民共和国国务院令第700号）4.《广东省实施〈中华人民共和国就业促进法〉办法》（2009年11月29日广东省第十一届人民代表大会常务委员会第十四次会议通过）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121"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36</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9.2劳动力职业技能提升补贴申领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3967"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37</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9.3灵活就业社会保险补贴申领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3.《人力资源市场暂行条例》（中华人民共和国国务院令第700号）4.《广东省实施〈中华人民共和国就业促进法〉办法》（2009年11月</w:t>
            </w:r>
            <w:r>
              <w:rPr>
                <w:rFonts w:hint="eastAsia" w:ascii="仿宋_GB2312" w:hAnsi="仿宋_GB2312" w:eastAsia="仿宋_GB2312" w:cs="仿宋_GB2312"/>
                <w:sz w:val="22"/>
                <w:szCs w:val="22"/>
                <w:lang w:val="en-US" w:eastAsia="zh-CN"/>
              </w:rPr>
              <w:t>26</w:t>
            </w:r>
            <w:bookmarkStart w:id="0" w:name="_GoBack"/>
            <w:bookmarkEnd w:id="0"/>
            <w:r>
              <w:rPr>
                <w:rFonts w:hint="eastAsia" w:ascii="仿宋_GB2312" w:hAnsi="仿宋_GB2312" w:eastAsia="仿宋_GB2312" w:cs="仿宋_GB2312"/>
                <w:sz w:val="22"/>
                <w:szCs w:val="22"/>
              </w:rPr>
              <w:t xml:space="preserve">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4121"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38</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9.4员工制家家政服务企业社会保险补贴（试点）和省级家庭服务培训示范基地补助申领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公开事项信息形成或变更之日起21个工作日内公开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3836" w:hRule="atLeast"/>
        </w:trPr>
        <w:tc>
          <w:tcPr>
            <w:tcW w:w="161"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39</w:t>
            </w:r>
          </w:p>
        </w:tc>
        <w:tc>
          <w:tcPr>
            <w:tcW w:w="326"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24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9.5省内（省际）劳务协作和就业扶贫服务补助申领</w:t>
            </w:r>
          </w:p>
        </w:tc>
        <w:tc>
          <w:tcPr>
            <w:tcW w:w="4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1.文件依据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2.政策对象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3.补贴标准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4.申请条件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5.申请材料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6.办理流程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7.办理时限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8.办理地点（方式）</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9.办理结果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10.咨询电话</w:t>
            </w:r>
          </w:p>
        </w:tc>
        <w:tc>
          <w:tcPr>
            <w:tcW w:w="11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1.《中华人民共和国政府信息公开条例》（中华人民共和国国务院令第711号）</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公开事项信息形成或变更之日起20个工作日内公开</w:t>
            </w:r>
          </w:p>
        </w:tc>
        <w:tc>
          <w:tcPr>
            <w:tcW w:w="3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新会区人力资源和社会保障局</w:t>
            </w:r>
          </w:p>
        </w:tc>
        <w:tc>
          <w:tcPr>
            <w:tcW w:w="111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hint="eastAsia" w:ascii="仿宋_GB2312" w:hAnsi="仿宋_GB2312" w:eastAsia="仿宋_GB2312" w:cs="仿宋_GB2312"/>
                <w:sz w:val="22"/>
                <w:szCs w:val="22"/>
              </w:rPr>
            </w:pPr>
            <w:r>
              <w:rPr>
                <w:rStyle w:val="6"/>
                <w:rFonts w:hint="eastAsia" w:ascii="仿宋_GB2312" w:hAnsi="仿宋_GB2312" w:eastAsia="仿宋_GB2312" w:cs="仿宋_GB2312"/>
                <w:sz w:val="22"/>
                <w:szCs w:val="22"/>
              </w:rPr>
              <w:t>■政府网站    □政府公报</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□两微一端    □发布会/听证会</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□广播电视    □纸质媒体</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□公开查阅点  □政务服务中心</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□便民服务站  □入户/现场</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■社区/企事业单位/村公示栏（电子屏）</w:t>
            </w:r>
            <w:r>
              <w:rPr>
                <w:rStyle w:val="6"/>
                <w:rFonts w:hint="eastAsia" w:ascii="仿宋_GB2312" w:hAnsi="仿宋_GB2312" w:eastAsia="仿宋_GB2312" w:cs="仿宋_GB2312"/>
                <w:sz w:val="22"/>
                <w:szCs w:val="22"/>
              </w:rPr>
              <w:br w:type="textWrapping"/>
            </w:r>
            <w:r>
              <w:rPr>
                <w:rStyle w:val="6"/>
                <w:rFonts w:hint="eastAsia" w:ascii="仿宋_GB2312" w:hAnsi="仿宋_GB2312" w:eastAsia="仿宋_GB2312" w:cs="仿宋_GB2312"/>
                <w:sz w:val="22"/>
                <w:szCs w:val="22"/>
              </w:rPr>
              <w:t>□精准推送    ■其他</w:t>
            </w:r>
            <w:r>
              <w:rPr>
                <w:rStyle w:val="7"/>
                <w:rFonts w:hint="eastAsia" w:ascii="仿宋_GB2312" w:hAnsi="仿宋_GB2312" w:eastAsia="仿宋_GB2312" w:cs="仿宋_GB2312"/>
                <w:sz w:val="22"/>
                <w:szCs w:val="22"/>
              </w:rPr>
              <w:t xml:space="preserve"> 基层公共服务平台</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3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2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sz w:val="22"/>
                <w:szCs w:val="22"/>
              </w:rPr>
            </w:pPr>
          </w:p>
        </w:tc>
        <w:tc>
          <w:tcPr>
            <w:tcW w:w="1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8"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CellMar>
            <w:top w:w="0" w:type="dxa"/>
            <w:left w:w="0" w:type="dxa"/>
            <w:bottom w:w="0" w:type="dxa"/>
            <w:right w:w="0" w:type="dxa"/>
          </w:tblCellMar>
        </w:tblPrEx>
        <w:trPr>
          <w:trHeight w:val="267" w:hRule="atLeast"/>
          <w:hidden/>
        </w:trPr>
        <w:tc>
          <w:tcPr>
            <w:tcW w:w="161" w:type="pct"/>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仿宋_GB2312" w:eastAsia="仿宋_GB2312" w:cs="仿宋_GB2312"/>
                <w:vanish/>
                <w:sz w:val="22"/>
                <w:szCs w:val="22"/>
              </w:rPr>
            </w:pPr>
          </w:p>
        </w:tc>
        <w:tc>
          <w:tcPr>
            <w:tcW w:w="326" w:type="pct"/>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仿宋_GB2312" w:eastAsia="仿宋_GB2312" w:cs="仿宋_GB2312"/>
                <w:vanish/>
                <w:sz w:val="22"/>
                <w:szCs w:val="22"/>
              </w:rPr>
            </w:pPr>
          </w:p>
        </w:tc>
        <w:tc>
          <w:tcPr>
            <w:tcW w:w="248" w:type="pct"/>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仿宋_GB2312" w:eastAsia="仿宋_GB2312" w:cs="仿宋_GB2312"/>
                <w:vanish/>
                <w:sz w:val="22"/>
                <w:szCs w:val="22"/>
              </w:rPr>
            </w:pPr>
          </w:p>
        </w:tc>
        <w:tc>
          <w:tcPr>
            <w:tcW w:w="430" w:type="pct"/>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仿宋_GB2312" w:eastAsia="仿宋_GB2312" w:cs="仿宋_GB2312"/>
                <w:vanish/>
                <w:sz w:val="22"/>
                <w:szCs w:val="22"/>
              </w:rPr>
            </w:pPr>
          </w:p>
        </w:tc>
        <w:tc>
          <w:tcPr>
            <w:tcW w:w="1167" w:type="pct"/>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仿宋_GB2312" w:eastAsia="仿宋_GB2312" w:cs="仿宋_GB2312"/>
                <w:vanish/>
                <w:sz w:val="22"/>
                <w:szCs w:val="22"/>
              </w:rPr>
            </w:pPr>
          </w:p>
        </w:tc>
        <w:tc>
          <w:tcPr>
            <w:tcW w:w="346" w:type="pct"/>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仿宋_GB2312" w:eastAsia="仿宋_GB2312" w:cs="仿宋_GB2312"/>
                <w:vanish/>
                <w:sz w:val="22"/>
                <w:szCs w:val="22"/>
              </w:rPr>
            </w:pPr>
          </w:p>
        </w:tc>
        <w:tc>
          <w:tcPr>
            <w:tcW w:w="366" w:type="pct"/>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仿宋_GB2312" w:eastAsia="仿宋_GB2312" w:cs="仿宋_GB2312"/>
                <w:vanish/>
                <w:sz w:val="22"/>
                <w:szCs w:val="22"/>
              </w:rPr>
            </w:pPr>
          </w:p>
        </w:tc>
        <w:tc>
          <w:tcPr>
            <w:tcW w:w="1118" w:type="pct"/>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仿宋_GB2312" w:eastAsia="仿宋_GB2312" w:cs="仿宋_GB2312"/>
                <w:vanish/>
                <w:sz w:val="22"/>
                <w:szCs w:val="22"/>
              </w:rPr>
            </w:pPr>
          </w:p>
        </w:tc>
        <w:tc>
          <w:tcPr>
            <w:tcW w:w="133" w:type="pct"/>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仿宋_GB2312" w:eastAsia="仿宋_GB2312" w:cs="仿宋_GB2312"/>
                <w:vanish/>
                <w:sz w:val="22"/>
                <w:szCs w:val="22"/>
              </w:rPr>
            </w:pPr>
          </w:p>
        </w:tc>
        <w:tc>
          <w:tcPr>
            <w:tcW w:w="133" w:type="pct"/>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仿宋_GB2312" w:eastAsia="仿宋_GB2312" w:cs="仿宋_GB2312"/>
                <w:vanish/>
                <w:sz w:val="22"/>
                <w:szCs w:val="22"/>
              </w:rPr>
            </w:pPr>
          </w:p>
        </w:tc>
        <w:tc>
          <w:tcPr>
            <w:tcW w:w="124" w:type="pct"/>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仿宋_GB2312" w:eastAsia="仿宋_GB2312" w:cs="仿宋_GB2312"/>
                <w:vanish/>
                <w:sz w:val="22"/>
                <w:szCs w:val="22"/>
              </w:rPr>
            </w:pPr>
          </w:p>
        </w:tc>
        <w:tc>
          <w:tcPr>
            <w:tcW w:w="126" w:type="pct"/>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仿宋_GB2312" w:eastAsia="仿宋_GB2312" w:cs="仿宋_GB2312"/>
                <w:vanish/>
                <w:sz w:val="22"/>
                <w:szCs w:val="22"/>
              </w:rPr>
            </w:pPr>
          </w:p>
        </w:tc>
        <w:tc>
          <w:tcPr>
            <w:tcW w:w="156" w:type="pct"/>
            <w:shd w:val="clear" w:color="auto" w:fill="auto"/>
            <w:vAlign w:val="center"/>
          </w:tcPr>
          <w:p>
            <w:pPr>
              <w:rPr>
                <w:rFonts w:hint="eastAsia" w:ascii="仿宋_GB2312" w:hAnsi="仿宋_GB2312" w:eastAsia="仿宋_GB2312" w:cs="仿宋_GB2312"/>
                <w:vanish/>
                <w:sz w:val="22"/>
                <w:szCs w:val="22"/>
              </w:rPr>
            </w:pPr>
          </w:p>
        </w:tc>
        <w:tc>
          <w:tcPr>
            <w:tcW w:w="158" w:type="pct"/>
            <w:shd w:val="clear" w:color="auto" w:fill="auto"/>
            <w:vAlign w:val="center"/>
          </w:tcPr>
          <w:p>
            <w:pPr>
              <w:rPr>
                <w:rFonts w:hint="eastAsia" w:ascii="仿宋_GB2312" w:hAnsi="仿宋_GB2312" w:eastAsia="仿宋_GB2312" w:cs="仿宋_GB2312"/>
                <w:vanish/>
                <w:sz w:val="22"/>
                <w:szCs w:val="22"/>
              </w:rPr>
            </w:pPr>
          </w:p>
        </w:tc>
      </w:tr>
    </w:tbl>
    <w:p/>
    <w:sectPr>
      <w:headerReference r:id="rId5" w:type="first"/>
      <w:footerReference r:id="rId8" w:type="first"/>
      <w:headerReference r:id="rId3" w:type="default"/>
      <w:footerReference r:id="rId6" w:type="default"/>
      <w:headerReference r:id="rId4" w:type="even"/>
      <w:footerReference r:id="rId7" w:type="even"/>
      <w:pgSz w:w="16839" w:h="11907" w:orient="landscape"/>
      <w:pgMar w:top="851" w:right="720" w:bottom="851" w:left="72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10DE"/>
    <w:rsid w:val="00057922"/>
    <w:rsid w:val="0023642C"/>
    <w:rsid w:val="00320138"/>
    <w:rsid w:val="00357309"/>
    <w:rsid w:val="006B3D7B"/>
    <w:rsid w:val="006F04CA"/>
    <w:rsid w:val="00956415"/>
    <w:rsid w:val="00B3510C"/>
    <w:rsid w:val="00B510DE"/>
    <w:rsid w:val="00DE5F0F"/>
    <w:rsid w:val="00DF5AE7"/>
    <w:rsid w:val="00ED6096"/>
    <w:rsid w:val="14603B5E"/>
    <w:rsid w:val="1D1971CE"/>
    <w:rsid w:val="58016ACE"/>
    <w:rsid w:val="758A2B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kern w:val="0"/>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01"/>
    <w:basedOn w:val="5"/>
    <w:qFormat/>
    <w:uiPriority w:val="0"/>
    <w:rPr>
      <w:rFonts w:hint="eastAsia" w:ascii="宋体" w:hAnsi="宋体" w:eastAsia="宋体" w:cs="宋体"/>
      <w:color w:val="auto"/>
      <w:sz w:val="24"/>
      <w:szCs w:val="24"/>
      <w:u w:val="none"/>
    </w:rPr>
  </w:style>
  <w:style w:type="character" w:customStyle="1" w:styleId="7">
    <w:name w:val="font261"/>
    <w:basedOn w:val="5"/>
    <w:qFormat/>
    <w:uiPriority w:val="0"/>
    <w:rPr>
      <w:rFonts w:hint="eastAsia" w:ascii="宋体" w:hAnsi="宋体" w:eastAsia="宋体" w:cs="宋体"/>
      <w:color w:val="auto"/>
      <w:sz w:val="24"/>
      <w:szCs w:val="24"/>
      <w:u w:val="single"/>
    </w:rPr>
  </w:style>
  <w:style w:type="character" w:customStyle="1" w:styleId="8">
    <w:name w:val="页眉 Char"/>
    <w:basedOn w:val="5"/>
    <w:link w:val="3"/>
    <w:qFormat/>
    <w:uiPriority w:val="99"/>
    <w:rPr>
      <w:rFonts w:cs="Times New Roman" w:asciiTheme="minorEastAsia" w:hAnsiTheme="minorEastAsia"/>
      <w:kern w:val="0"/>
      <w:sz w:val="18"/>
      <w:szCs w:val="18"/>
    </w:rPr>
  </w:style>
  <w:style w:type="character" w:customStyle="1" w:styleId="9">
    <w:name w:val="页脚 Char"/>
    <w:basedOn w:val="5"/>
    <w:link w:val="2"/>
    <w:qFormat/>
    <w:uiPriority w:val="99"/>
    <w:rPr>
      <w:rFonts w:cs="Times New Roman" w:asciiTheme="minorEastAsia" w:hAnsiTheme="minorEastAsia"/>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3321</Words>
  <Characters>18933</Characters>
  <Lines>157</Lines>
  <Paragraphs>44</Paragraphs>
  <TotalTime>49</TotalTime>
  <ScaleCrop>false</ScaleCrop>
  <LinksUpToDate>false</LinksUpToDate>
  <CharactersWithSpaces>22210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2020-11-16T08:55:00Z</dcterms:created>
  <dc:creator>jm1</dc:creator>
  <cp:lastModifiedBy>区人力资源和社会保障局收文员</cp:lastModifiedBy>
  <dcterms:modified xsi:type="dcterms:W3CDTF">2022-07-26T03:23:31Z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