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napToGrid w:val="0"/>
        <w:spacing w:line="360" w:lineRule="auto"/>
        <w:ind w:firstLine="0" w:firstLineChars="0"/>
        <w:outlineLvl w:val="1"/>
        <w:rPr>
          <w:rFonts w:ascii="仿宋_GB2312" w:eastAsia="仿宋_GB2312" w:hAnsiTheme="minorHAnsi" w:cstheme="minorBidi"/>
          <w:sz w:val="32"/>
          <w:szCs w:val="28"/>
        </w:rPr>
      </w:pPr>
      <w:r>
        <w:rPr>
          <w:rFonts w:hint="eastAsia" w:ascii="仿宋_GB2312" w:eastAsia="仿宋_GB2312" w:hAnsiTheme="minorHAnsi" w:cstheme="minorBidi"/>
          <w:sz w:val="32"/>
          <w:szCs w:val="28"/>
        </w:rPr>
        <w:t xml:space="preserve">附件4 </w:t>
      </w:r>
    </w:p>
    <w:p>
      <w:pPr>
        <w:pStyle w:val="8"/>
        <w:snapToGrid w:val="0"/>
        <w:spacing w:line="360" w:lineRule="auto"/>
        <w:ind w:firstLine="0" w:firstLineChars="0"/>
        <w:jc w:val="center"/>
        <w:outlineLvl w:val="1"/>
        <w:rPr>
          <w:rFonts w:ascii="黑体" w:hAnsi="黑体" w:eastAsia="黑体"/>
          <w:sz w:val="40"/>
          <w:szCs w:val="30"/>
        </w:rPr>
      </w:pPr>
      <w:r>
        <w:rPr>
          <w:rFonts w:hint="eastAsia" w:ascii="黑体" w:hAnsi="黑体" w:eastAsia="黑体" w:cs="宋体"/>
          <w:color w:val="333333"/>
          <w:kern w:val="0"/>
          <w:sz w:val="44"/>
          <w:szCs w:val="32"/>
        </w:rPr>
        <w:t>关于部分检验项目的说明</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val="0"/>
        <w:spacing w:line="594" w:lineRule="exact"/>
        <w:ind w:firstLine="640" w:firstLineChars="200"/>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一、恩诺沙星(以恩诺沙星与环丙沙星之和计)</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val="0"/>
        <w:spacing w:line="594"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恩诺沙星属于氟喹诺酮类药物，是一类人工合成的广谱抗菌药，用于治疗动物的皮肤感染、呼吸道感染等，是动物专属用药。《食品安全国家标准 食品中兽药最大残留限量 》（GB 31650）中规定，恩诺沙星可用</w:t>
      </w:r>
      <w:r>
        <w:rPr>
          <w:rFonts w:hint="eastAsia" w:ascii="仿宋_GB2312" w:hAnsi="仿宋_GB2312" w:eastAsia="仿宋_GB2312" w:cs="仿宋_GB2312"/>
          <w:color w:val="auto"/>
          <w:sz w:val="32"/>
          <w:szCs w:val="32"/>
          <w:highlight w:val="none"/>
          <w:lang w:val="en-US" w:eastAsia="zh-CN"/>
        </w:rPr>
        <w:t>于其他动物，肌肉内的</w:t>
      </w:r>
      <w:r>
        <w:rPr>
          <w:rFonts w:hint="eastAsia" w:ascii="仿宋_GB2312" w:hAnsi="仿宋_GB2312" w:eastAsia="仿宋_GB2312" w:cs="仿宋_GB2312"/>
          <w:color w:val="auto"/>
          <w:sz w:val="32"/>
          <w:szCs w:val="32"/>
          <w:highlight w:val="none"/>
        </w:rPr>
        <w:t>最高残留限量为100μg/kg。长期摄入恩诺沙星超标的动物性食品，可能会引起轻度胃肠道刺激或不适、头痛、头晕、睡眠不良等症状，过多摄入还可能引起肝损害。</w:t>
      </w:r>
    </w:p>
    <w:p>
      <w:pPr>
        <w:pStyle w:val="2"/>
        <w:ind w:firstLine="640" w:firstLineChars="200"/>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二、吡虫啉</w:t>
      </w:r>
    </w:p>
    <w:p>
      <w:pPr>
        <w:pStyle w:val="2"/>
        <w:ind w:firstLine="640" w:firstLineChars="20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吡虫啉属内吸性杀虫剂，具有触杀和胃毒作用，少量的残留不会引起人体急性中毒。《食品安全国家标准食品中农药最大残留限量》（GB 2763-2021）中规定，吡虫啉在苦瓜中的最大残留限量值为0.1mg/kg。苦瓜中吡虫啉残留量超标的原因可能是种植户为快速控制虫害，加大用药量或未遵守采摘间隔期规定，致使上市销售的产品中残留量超标。</w:t>
      </w:r>
    </w:p>
    <w:p>
      <w:pPr>
        <w:pStyle w:val="2"/>
        <w:ind w:firstLine="640" w:firstLineChars="200"/>
        <w:rPr>
          <w:rFonts w:hint="default"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三、</w:t>
      </w:r>
      <w:r>
        <w:rPr>
          <w:rFonts w:hint="default" w:ascii="黑体" w:hAnsi="黑体" w:eastAsia="黑体" w:cs="黑体"/>
          <w:color w:val="auto"/>
          <w:sz w:val="32"/>
          <w:szCs w:val="32"/>
          <w:highlight w:val="none"/>
          <w:lang w:val="en-US" w:eastAsia="zh-CN"/>
        </w:rPr>
        <w:t>酸价(以脂肪计)</w:t>
      </w:r>
    </w:p>
    <w:p>
      <w:pPr>
        <w:widowControl/>
        <w:shd w:val="clear" w:color="auto" w:fill="FFFFFF"/>
        <w:snapToGrid w:val="0"/>
        <w:spacing w:line="590" w:lineRule="exact"/>
        <w:ind w:firstLine="640" w:firstLineChars="20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酸价主要反映食品中的油脂酸败程度。酸价超标会导致食品有哈喇味，超标严重时所产生的醛、酮、酸会破坏脂溶性维生素，导致肠胃不适。《食品安全国家标准 坚果与籽类食品》（GB 19300）中规定，芝麻中酸价（以脂肪计）（KOH）最大限量值为3mg/g。造成酸价不合格的主要原因，可能是原料采购把关不严、产品储藏条件不当，特别是存贮温度较高时易导致食品中的脂肪氧化酸败。</w:t>
      </w:r>
    </w:p>
    <w:p>
      <w:pPr>
        <w:widowControl/>
        <w:numPr>
          <w:ilvl w:val="0"/>
          <w:numId w:val="1"/>
        </w:numPr>
        <w:shd w:val="clear" w:color="auto" w:fill="FFFFFF"/>
        <w:snapToGrid w:val="0"/>
        <w:spacing w:line="590" w:lineRule="exact"/>
        <w:ind w:left="-10" w:leftChars="0" w:firstLine="640" w:firstLineChars="0"/>
        <w:rPr>
          <w:rFonts w:hint="eastAsia" w:ascii="黑体" w:hAnsi="黑体" w:eastAsia="黑体" w:cs="黑体"/>
          <w:color w:val="auto"/>
          <w:kern w:val="2"/>
          <w:sz w:val="32"/>
          <w:szCs w:val="32"/>
          <w:highlight w:val="none"/>
          <w:lang w:val="en-US" w:eastAsia="zh-CN" w:bidi="ar-SA"/>
        </w:rPr>
      </w:pPr>
      <w:r>
        <w:rPr>
          <w:rFonts w:hint="eastAsia" w:ascii="黑体" w:hAnsi="黑体" w:eastAsia="黑体" w:cs="黑体"/>
          <w:color w:val="auto"/>
          <w:kern w:val="2"/>
          <w:sz w:val="32"/>
          <w:szCs w:val="32"/>
          <w:highlight w:val="none"/>
          <w:lang w:val="en-US" w:eastAsia="zh-CN" w:bidi="ar-SA"/>
        </w:rPr>
        <w:t>孔雀石绿</w:t>
      </w:r>
    </w:p>
    <w:p>
      <w:pPr>
        <w:widowControl/>
        <w:numPr>
          <w:numId w:val="0"/>
        </w:numPr>
        <w:shd w:val="clear" w:color="auto" w:fill="FFFFFF"/>
        <w:snapToGrid w:val="0"/>
        <w:spacing w:line="590" w:lineRule="exact"/>
        <w:ind w:firstLine="640" w:firstLineChars="20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孔雀石绿是一种工业染料，因具有杀菌和抗寄生虫的作用，曾用于水产养殖。孔雀石绿及隐色孔雀石绿均对人体肝脏具有潜在致癌性。长期食用检出孔雀石绿的食品，将会危害人体健康。《食品动物中禁止使用的药品及其他化合物清单》（农业农村部公告第250号）中规定，孔雀石绿为食品动物中禁止使用的药品（在动物性食品中不得检出）。鱼类中检出孔雀石绿的原因，可能是在养殖过程中违规使用。</w:t>
      </w:r>
    </w:p>
    <w:p>
      <w:pPr>
        <w:widowControl/>
        <w:numPr>
          <w:ilvl w:val="0"/>
          <w:numId w:val="1"/>
        </w:numPr>
        <w:shd w:val="clear" w:color="auto" w:fill="FFFFFF"/>
        <w:snapToGrid w:val="0"/>
        <w:spacing w:line="590" w:lineRule="exact"/>
        <w:ind w:left="-10" w:leftChars="0" w:firstLine="640" w:firstLineChars="0"/>
        <w:rPr>
          <w:rFonts w:hint="eastAsia" w:ascii="黑体" w:hAnsi="黑体" w:eastAsia="黑体" w:cs="黑体"/>
          <w:color w:val="auto"/>
          <w:kern w:val="2"/>
          <w:sz w:val="32"/>
          <w:szCs w:val="32"/>
          <w:highlight w:val="none"/>
          <w:lang w:val="en-US" w:eastAsia="zh-CN" w:bidi="ar-SA"/>
        </w:rPr>
      </w:pPr>
      <w:r>
        <w:rPr>
          <w:rFonts w:hint="eastAsia" w:ascii="黑体" w:hAnsi="黑体" w:eastAsia="黑体" w:cs="黑体"/>
          <w:color w:val="auto"/>
          <w:kern w:val="2"/>
          <w:sz w:val="32"/>
          <w:szCs w:val="32"/>
          <w:highlight w:val="none"/>
          <w:lang w:val="en-US" w:eastAsia="zh-CN" w:bidi="ar-SA"/>
        </w:rPr>
        <w:t>铅(以Pb计)</w:t>
      </w:r>
    </w:p>
    <w:p>
      <w:pPr>
        <w:widowControl/>
        <w:numPr>
          <w:numId w:val="0"/>
        </w:numPr>
        <w:shd w:val="clear" w:color="auto" w:fill="FFFFFF"/>
        <w:snapToGrid w:val="0"/>
        <w:spacing w:line="59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铅是一种慢性和积累性毒物，进入人体后，少部分会随着身体代谢排出体外，大部分会在体内沉积，危害人体健康。《食品安全国家标准食品中污染物限量》（GB 2762</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rPr>
        <w:t>2017）规定，铅在</w:t>
      </w:r>
      <w:r>
        <w:rPr>
          <w:rFonts w:hint="eastAsia" w:ascii="Times New Roman" w:hAnsi="Times New Roman" w:eastAsia="仿宋_GB2312" w:cs="Times New Roman"/>
          <w:sz w:val="32"/>
          <w:szCs w:val="32"/>
          <w:lang w:val="en-US" w:eastAsia="zh-CN"/>
        </w:rPr>
        <w:t>姜</w:t>
      </w:r>
      <w:r>
        <w:rPr>
          <w:rFonts w:hint="eastAsia" w:ascii="Times New Roman" w:hAnsi="Times New Roman" w:eastAsia="仿宋_GB2312" w:cs="Times New Roman"/>
          <w:sz w:val="32"/>
          <w:szCs w:val="32"/>
        </w:rPr>
        <w:t>中的最大限量值为0.1mg/kg。</w:t>
      </w:r>
      <w:r>
        <w:rPr>
          <w:rFonts w:hint="eastAsia" w:ascii="Times New Roman" w:hAnsi="Times New Roman" w:eastAsia="仿宋_GB2312" w:cs="Times New Roman"/>
          <w:sz w:val="32"/>
          <w:szCs w:val="32"/>
          <w:lang w:val="en-US" w:eastAsia="zh-CN"/>
        </w:rPr>
        <w:t>铅(以Pb计)检测值超标的原因，可能是其生长过程中富集环境中的铅元素。</w:t>
      </w:r>
    </w:p>
    <w:p>
      <w:pPr>
        <w:widowControl/>
        <w:numPr>
          <w:numId w:val="0"/>
        </w:numPr>
        <w:shd w:val="clear" w:color="auto" w:fill="FFFFFF"/>
        <w:snapToGrid w:val="0"/>
        <w:spacing w:line="590" w:lineRule="exact"/>
        <w:ind w:left="630" w:leftChars="0"/>
        <w:rPr>
          <w:rFonts w:hint="eastAsia" w:ascii="黑体" w:hAnsi="黑体" w:eastAsia="黑体" w:cs="黑体"/>
          <w:color w:val="auto"/>
          <w:kern w:val="2"/>
          <w:sz w:val="32"/>
          <w:szCs w:val="32"/>
          <w:highlight w:val="none"/>
          <w:lang w:val="en-US" w:eastAsia="zh-CN" w:bidi="ar-SA"/>
        </w:rPr>
      </w:pPr>
      <w:r>
        <w:rPr>
          <w:rFonts w:hint="eastAsia" w:ascii="黑体" w:hAnsi="黑体" w:eastAsia="黑体" w:cs="黑体"/>
          <w:color w:val="auto"/>
          <w:kern w:val="2"/>
          <w:sz w:val="32"/>
          <w:szCs w:val="32"/>
          <w:highlight w:val="none"/>
          <w:lang w:val="en-US" w:eastAsia="zh-CN" w:bidi="ar-SA"/>
        </w:rPr>
        <w:t>六、镉(以Cd计)</w:t>
      </w:r>
    </w:p>
    <w:p>
      <w:pPr>
        <w:widowControl/>
        <w:numPr>
          <w:ilvl w:val="0"/>
          <w:numId w:val="0"/>
        </w:numPr>
        <w:shd w:val="clear" w:color="auto" w:fill="FFFFFF"/>
        <w:snapToGrid w:val="0"/>
        <w:spacing w:line="590" w:lineRule="exact"/>
        <w:ind w:firstLine="640" w:firstLineChars="200"/>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镉是一种蓄积性的重金属元素，可通过食物链进入人体。长期食用镉超标的食品，可能会对人体肾脏和肝脏造成损害，还会影响免疫系统，甚至可能对儿童高级神经活动有损害。《食品安全国家标准 食品中污染物限量》（GB 2762-2017）中规定，镉（以Cd计）在鲜、冻水产动物的甲壳类中限量为0.5 mg/kg。镉（以Cd计）检测值超标的原因，可能是其生长过程中富集环境中的镉元素。</w:t>
      </w:r>
    </w:p>
    <w:p>
      <w:pPr>
        <w:pStyle w:val="2"/>
        <w:numPr>
          <w:numId w:val="0"/>
        </w:numPr>
        <w:ind w:left="630" w:leftChars="0"/>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七、阿维菌素</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color w:val="auto"/>
          <w:sz w:val="32"/>
          <w:szCs w:val="32"/>
          <w:highlight w:val="none"/>
          <w:lang w:val="en-US" w:eastAsia="zh-CN"/>
        </w:rPr>
      </w:pPr>
      <w:r>
        <w:rPr>
          <w:rFonts w:hint="eastAsia" w:ascii="Times New Roman" w:hAnsi="Times New Roman" w:eastAsia="仿宋_GB2312"/>
          <w:color w:val="000000"/>
          <w:sz w:val="32"/>
          <w:szCs w:val="32"/>
          <w:lang w:val="en-US" w:eastAsia="zh-CN"/>
        </w:rPr>
        <w:t>阿维菌素是由日本北里大学大村智等和美国Merck公司首先开发的一类具有杀虫、杀螨、杀线虫活性的十六元大环内酯化合物，由链霉菌中灰色链霉菌发酵产生，是一种农兽两用杀虫、杀螨剂，典型的生物农药，不属化学农药。阿维菌的机理就是对虫类进行感染，破坏其消化系统，导致其最终死亡。其对螨类和昆虫具有胃毒和触杀作用。用于防治蔬菜、果树等作物上小菜蛾、菜青虫、黏虫、跳甲等多种害虫，对其他农药产生抗性的害虫尤为有效。《食品安全国家标准 食品中农药最大残留限量》（GB 2763-2021）中规定，阿维菌素在油麦菜中的最大残留量为0.05mg/kg。蔬菜阿维菌素超标，说明其可能被过量施药或者施药不久就被采摘销售，致使阿维菌素超标。</w:t>
      </w:r>
    </w:p>
    <w:p>
      <w:pPr>
        <w:pStyle w:val="2"/>
        <w:widowControl w:val="0"/>
        <w:numPr>
          <w:numId w:val="0"/>
        </w:numPr>
        <w:ind w:left="630" w:leftChars="0"/>
        <w:jc w:val="both"/>
        <w:rPr>
          <w:rFonts w:hint="default"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八、</w:t>
      </w:r>
      <w:r>
        <w:rPr>
          <w:rFonts w:hint="default" w:ascii="黑体" w:hAnsi="黑体" w:eastAsia="黑体" w:cs="黑体"/>
          <w:color w:val="auto"/>
          <w:sz w:val="32"/>
          <w:szCs w:val="32"/>
          <w:highlight w:val="none"/>
          <w:lang w:val="en-US" w:eastAsia="zh-CN"/>
        </w:rPr>
        <w:t>菌落总数</w:t>
      </w:r>
    </w:p>
    <w:p>
      <w:pPr>
        <w:spacing w:line="594" w:lineRule="exact"/>
        <w:ind w:firstLine="640" w:firstLineChars="200"/>
        <w:textAlignment w:val="baseline"/>
        <w:rPr>
          <w:rFonts w:hint="default" w:ascii="黑体" w:hAnsi="黑体" w:eastAsia="黑体" w:cs="黑体"/>
          <w:color w:val="auto"/>
          <w:sz w:val="32"/>
          <w:szCs w:val="32"/>
          <w:highlight w:val="none"/>
          <w:lang w:val="en-US" w:eastAsia="zh-CN"/>
        </w:rPr>
      </w:pPr>
      <w:r>
        <w:rPr>
          <w:rFonts w:ascii="Times New Roman" w:hAnsi="Times New Roman" w:eastAsia="仿宋_GB2312"/>
          <w:color w:val="000000"/>
          <w:sz w:val="32"/>
          <w:szCs w:val="32"/>
        </w:rPr>
        <w:t>菌落总数是指示性微生物指标，</w:t>
      </w:r>
      <w:r>
        <w:rPr>
          <w:rFonts w:hint="eastAsia" w:ascii="Times New Roman" w:hAnsi="Times New Roman" w:eastAsia="仿宋_GB2312"/>
          <w:color w:val="000000"/>
          <w:sz w:val="32"/>
          <w:szCs w:val="32"/>
        </w:rPr>
        <w:t>不是</w:t>
      </w:r>
      <w:r>
        <w:rPr>
          <w:rFonts w:ascii="Times New Roman" w:hAnsi="Times New Roman" w:eastAsia="仿宋_GB2312"/>
          <w:color w:val="000000"/>
          <w:sz w:val="32"/>
          <w:szCs w:val="32"/>
        </w:rPr>
        <w:t>致病菌指标，反映食品在生产过程中的卫生状况。</w:t>
      </w:r>
      <w:r>
        <w:rPr>
          <w:rFonts w:hint="eastAsia" w:ascii="Times New Roman" w:hAnsi="Times New Roman" w:eastAsia="仿宋_GB2312"/>
          <w:color w:val="000000"/>
          <w:sz w:val="32"/>
          <w:szCs w:val="32"/>
        </w:rPr>
        <w:t>如果食品的菌落总数严重超标，将会破坏食品的营养成分，使食品失去食用价值；还会加速食品腐败变质，可能危害人体健康。</w:t>
      </w:r>
      <w:r>
        <w:rPr>
          <w:rFonts w:hint="eastAsia" w:ascii="Times New Roman" w:hAnsi="Times New Roman" w:eastAsia="仿宋_GB2312" w:cs="Times New Roman"/>
          <w:color w:val="000000"/>
          <w:sz w:val="32"/>
          <w:szCs w:val="32"/>
        </w:rPr>
        <w:t>菌落总数超标的原因，可能是生产企业所使用的原辅料初始菌落数较高；也可能是生产加工过程中卫生条件控制不严格；还可能与产品包装密封不严、储运条件控制不当等有关。</w:t>
      </w:r>
    </w:p>
    <w:p>
      <w:pPr>
        <w:pStyle w:val="2"/>
        <w:widowControl w:val="0"/>
        <w:numPr>
          <w:ilvl w:val="0"/>
          <w:numId w:val="2"/>
        </w:numPr>
        <w:ind w:left="640" w:leftChars="0" w:firstLine="0" w:firstLineChars="0"/>
        <w:jc w:val="both"/>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胭脂红</w:t>
      </w:r>
    </w:p>
    <w:p>
      <w:pPr>
        <w:spacing w:line="594" w:lineRule="exact"/>
        <w:ind w:firstLine="640" w:firstLineChars="200"/>
        <w:textAlignment w:val="baseline"/>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胭脂红为水溶性偶氮类着色剂，在食品行业中应用广泛，可改善食品的外观和色泽。《食品安全国家标准</w:t>
      </w:r>
      <w:r>
        <w:rPr>
          <w:rFonts w:hint="eastAsia" w:ascii="Times New Roman" w:hAnsi="Times New Roman" w:eastAsia="仿宋_GB2312" w:cs="Times New Roman"/>
          <w:color w:val="000000"/>
          <w:sz w:val="32"/>
          <w:szCs w:val="32"/>
          <w:lang w:val="en-US" w:eastAsia="zh-CN"/>
        </w:rPr>
        <w:t xml:space="preserve"> </w:t>
      </w:r>
      <w:r>
        <w:rPr>
          <w:rFonts w:hint="eastAsia" w:ascii="Times New Roman" w:hAnsi="Times New Roman" w:eastAsia="仿宋_GB2312" w:cs="Times New Roman"/>
          <w:color w:val="000000"/>
          <w:sz w:val="32"/>
          <w:szCs w:val="32"/>
        </w:rPr>
        <w:t>食品添加剂使用标准》（GB</w:t>
      </w:r>
      <w:r>
        <w:rPr>
          <w:rFonts w:hint="eastAsia" w:ascii="Times New Roman" w:hAnsi="Times New Roman" w:eastAsia="仿宋_GB2312" w:cs="Times New Roman"/>
          <w:color w:val="000000"/>
          <w:sz w:val="32"/>
          <w:szCs w:val="32"/>
          <w:lang w:val="en-US" w:eastAsia="zh-CN"/>
        </w:rPr>
        <w:t xml:space="preserve"> </w:t>
      </w:r>
      <w:r>
        <w:rPr>
          <w:rFonts w:hint="eastAsia" w:ascii="Times New Roman" w:hAnsi="Times New Roman" w:eastAsia="仿宋_GB2312" w:cs="Times New Roman"/>
          <w:color w:val="000000"/>
          <w:sz w:val="32"/>
          <w:szCs w:val="32"/>
        </w:rPr>
        <w:t>2760</w:t>
      </w:r>
      <w:r>
        <w:rPr>
          <w:rFonts w:hint="eastAsia" w:ascii="Times New Roman" w:hAnsi="Times New Roman" w:eastAsia="仿宋_GB2312" w:cs="Times New Roman"/>
          <w:color w:val="000000"/>
          <w:sz w:val="32"/>
          <w:szCs w:val="32"/>
          <w:lang w:val="en-US" w:eastAsia="zh-CN"/>
        </w:rPr>
        <w:t>-</w:t>
      </w:r>
      <w:r>
        <w:rPr>
          <w:rFonts w:hint="eastAsia" w:ascii="Times New Roman" w:hAnsi="Times New Roman" w:eastAsia="仿宋_GB2312" w:cs="Times New Roman"/>
          <w:color w:val="000000"/>
          <w:sz w:val="32"/>
          <w:szCs w:val="32"/>
        </w:rPr>
        <w:t>2014）中规定，胭脂红及其铝色淀可用于肉制品的可食用动物肠衣、胶原蛋白肠衣中，但在</w:t>
      </w:r>
      <w:r>
        <w:rPr>
          <w:rFonts w:hint="eastAsia" w:ascii="Times New Roman" w:hAnsi="Times New Roman" w:eastAsia="仿宋_GB2312" w:cs="Times New Roman"/>
          <w:color w:val="000000"/>
          <w:sz w:val="32"/>
          <w:szCs w:val="32"/>
          <w:lang w:val="en-US" w:eastAsia="zh-CN"/>
        </w:rPr>
        <w:t>熟</w:t>
      </w:r>
      <w:r>
        <w:rPr>
          <w:rFonts w:hint="eastAsia" w:ascii="Times New Roman" w:hAnsi="Times New Roman" w:eastAsia="仿宋_GB2312" w:cs="Times New Roman"/>
          <w:color w:val="000000"/>
          <w:sz w:val="32"/>
          <w:szCs w:val="32"/>
        </w:rPr>
        <w:t>肉制品中不得使用。胭脂红不合格原因，可能是在</w:t>
      </w:r>
      <w:r>
        <w:rPr>
          <w:rFonts w:hint="eastAsia" w:ascii="Times New Roman" w:hAnsi="Times New Roman" w:eastAsia="仿宋_GB2312" w:cs="Times New Roman"/>
          <w:color w:val="000000"/>
          <w:sz w:val="32"/>
          <w:szCs w:val="32"/>
          <w:lang w:val="en-US" w:eastAsia="zh-CN"/>
        </w:rPr>
        <w:t>熟</w:t>
      </w:r>
      <w:r>
        <w:rPr>
          <w:rFonts w:hint="eastAsia" w:ascii="Times New Roman" w:hAnsi="Times New Roman" w:eastAsia="仿宋_GB2312" w:cs="Times New Roman"/>
          <w:color w:val="000000"/>
          <w:sz w:val="32"/>
          <w:szCs w:val="32"/>
        </w:rPr>
        <w:t>肉制品生产过程中，企业为凸显产品色泽，超范围使用胭脂红。</w:t>
      </w:r>
      <w:bookmarkStart w:id="0" w:name="_GoBack"/>
      <w:bookmarkEnd w:id="0"/>
    </w:p>
    <w:p>
      <w:pPr>
        <w:pStyle w:val="2"/>
        <w:widowControl w:val="0"/>
        <w:numPr>
          <w:numId w:val="0"/>
        </w:numPr>
        <w:ind w:left="640" w:leftChars="0"/>
        <w:jc w:val="both"/>
        <w:rPr>
          <w:rFonts w:hint="default" w:ascii="黑体" w:hAnsi="黑体" w:eastAsia="黑体" w:cs="黑体"/>
          <w:color w:val="auto"/>
          <w:sz w:val="32"/>
          <w:szCs w:val="32"/>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DA013"/>
    <w:multiLevelType w:val="singleLevel"/>
    <w:tmpl w:val="46EDA013"/>
    <w:lvl w:ilvl="0" w:tentative="0">
      <w:start w:val="9"/>
      <w:numFmt w:val="chineseCounting"/>
      <w:suff w:val="nothing"/>
      <w:lvlText w:val="%1、"/>
      <w:lvlJc w:val="left"/>
      <w:pPr>
        <w:ind w:left="640" w:leftChars="0" w:firstLine="0" w:firstLineChars="0"/>
      </w:pPr>
      <w:rPr>
        <w:rFonts w:hint="eastAsia"/>
      </w:rPr>
    </w:lvl>
  </w:abstractNum>
  <w:abstractNum w:abstractNumId="1">
    <w:nsid w:val="5A5BF758"/>
    <w:multiLevelType w:val="singleLevel"/>
    <w:tmpl w:val="5A5BF758"/>
    <w:lvl w:ilvl="0" w:tentative="0">
      <w:start w:val="4"/>
      <w:numFmt w:val="chineseCounting"/>
      <w:suff w:val="nothing"/>
      <w:lvlText w:val="%1、"/>
      <w:lvlJc w:val="left"/>
      <w:pPr>
        <w:ind w:left="-1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538B6"/>
    <w:rsid w:val="000641DE"/>
    <w:rsid w:val="00082F81"/>
    <w:rsid w:val="000F39F5"/>
    <w:rsid w:val="00100115"/>
    <w:rsid w:val="00137DE9"/>
    <w:rsid w:val="001827BE"/>
    <w:rsid w:val="002837D6"/>
    <w:rsid w:val="002A3ADE"/>
    <w:rsid w:val="002D01BB"/>
    <w:rsid w:val="002D41B4"/>
    <w:rsid w:val="002F13F4"/>
    <w:rsid w:val="0039346E"/>
    <w:rsid w:val="003B798D"/>
    <w:rsid w:val="003F03B9"/>
    <w:rsid w:val="0040121F"/>
    <w:rsid w:val="004073AF"/>
    <w:rsid w:val="00465167"/>
    <w:rsid w:val="00471FC2"/>
    <w:rsid w:val="00480508"/>
    <w:rsid w:val="004F1076"/>
    <w:rsid w:val="005579BF"/>
    <w:rsid w:val="005924C0"/>
    <w:rsid w:val="0059438B"/>
    <w:rsid w:val="005E78D7"/>
    <w:rsid w:val="00610563"/>
    <w:rsid w:val="00642CF8"/>
    <w:rsid w:val="00664123"/>
    <w:rsid w:val="006713BB"/>
    <w:rsid w:val="006F31FA"/>
    <w:rsid w:val="007241F1"/>
    <w:rsid w:val="00744111"/>
    <w:rsid w:val="00757116"/>
    <w:rsid w:val="00793BE7"/>
    <w:rsid w:val="00797BD0"/>
    <w:rsid w:val="007C0FC2"/>
    <w:rsid w:val="0082464A"/>
    <w:rsid w:val="008A28CE"/>
    <w:rsid w:val="008B486D"/>
    <w:rsid w:val="00966231"/>
    <w:rsid w:val="0097109D"/>
    <w:rsid w:val="009B27A0"/>
    <w:rsid w:val="009D1AB7"/>
    <w:rsid w:val="009F58B2"/>
    <w:rsid w:val="00A64576"/>
    <w:rsid w:val="00A84947"/>
    <w:rsid w:val="00A96B8A"/>
    <w:rsid w:val="00AD21C4"/>
    <w:rsid w:val="00B37BDC"/>
    <w:rsid w:val="00B4575A"/>
    <w:rsid w:val="00B67CC6"/>
    <w:rsid w:val="00B85018"/>
    <w:rsid w:val="00BB74A3"/>
    <w:rsid w:val="00BE26C8"/>
    <w:rsid w:val="00BF207F"/>
    <w:rsid w:val="00C215C4"/>
    <w:rsid w:val="00CA45C4"/>
    <w:rsid w:val="00CF71B2"/>
    <w:rsid w:val="00D523E2"/>
    <w:rsid w:val="00D57DD7"/>
    <w:rsid w:val="00DA5956"/>
    <w:rsid w:val="00DB5D92"/>
    <w:rsid w:val="00DE05A3"/>
    <w:rsid w:val="00E20584"/>
    <w:rsid w:val="00EF06F7"/>
    <w:rsid w:val="00F03445"/>
    <w:rsid w:val="00F14910"/>
    <w:rsid w:val="00F87FBE"/>
    <w:rsid w:val="00FA4D70"/>
    <w:rsid w:val="00FD4169"/>
    <w:rsid w:val="00FE4048"/>
    <w:rsid w:val="011961E3"/>
    <w:rsid w:val="01490E6D"/>
    <w:rsid w:val="06630C6A"/>
    <w:rsid w:val="077C4753"/>
    <w:rsid w:val="08C0103B"/>
    <w:rsid w:val="09C85F66"/>
    <w:rsid w:val="0BBE2919"/>
    <w:rsid w:val="0D570788"/>
    <w:rsid w:val="12633209"/>
    <w:rsid w:val="13CB55B1"/>
    <w:rsid w:val="13D33359"/>
    <w:rsid w:val="1EB1223A"/>
    <w:rsid w:val="2CD95A2D"/>
    <w:rsid w:val="2E3D75F0"/>
    <w:rsid w:val="2F093078"/>
    <w:rsid w:val="350B32B3"/>
    <w:rsid w:val="359D3CDA"/>
    <w:rsid w:val="3D3555CF"/>
    <w:rsid w:val="43975BD4"/>
    <w:rsid w:val="46FA3ADD"/>
    <w:rsid w:val="48C665D4"/>
    <w:rsid w:val="4AEE2C62"/>
    <w:rsid w:val="561D74D3"/>
    <w:rsid w:val="580D4A58"/>
    <w:rsid w:val="5AA16DF6"/>
    <w:rsid w:val="5FB85E38"/>
    <w:rsid w:val="66A030F9"/>
    <w:rsid w:val="6B744955"/>
    <w:rsid w:val="719977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cs="宋体"/>
      <w:sz w:val="21"/>
      <w:szCs w:val="21"/>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8">
    <w:name w:val="列出段落1"/>
    <w:basedOn w:val="1"/>
    <w:qFormat/>
    <w:uiPriority w:val="99"/>
    <w:pPr>
      <w:ind w:firstLine="420" w:firstLineChars="200"/>
    </w:pPr>
    <w:rPr>
      <w:rFonts w:ascii="Times New Roman" w:hAnsi="Times New Roman" w:eastAsia="宋体" w:cs="Times New Roman"/>
      <w:szCs w:val="24"/>
    </w:rPr>
  </w:style>
  <w:style w:type="paragraph" w:styleId="9">
    <w:name w:val="List Paragraph"/>
    <w:basedOn w:val="1"/>
    <w:qFormat/>
    <w:uiPriority w:val="34"/>
    <w:pPr>
      <w:ind w:firstLine="420" w:firstLineChars="200"/>
    </w:pPr>
  </w:style>
  <w:style w:type="paragraph" w:customStyle="1" w:styleId="10">
    <w:name w:val="正文 New New New New New New New New New New New New New New New New New New New New New New New New New New New New New New New New New New New New New New New New New New New New New New New New New New New New New New New New New New New New New New Ne"/>
    <w:uiPriority w:val="0"/>
    <w:pPr>
      <w:widowControl w:val="0"/>
      <w:jc w:val="both"/>
    </w:pPr>
    <w:rPr>
      <w:rFonts w:ascii="Calibri" w:hAnsi="Calibri" w:eastAsia="宋体" w:cs="黑体"/>
      <w:kern w:val="2"/>
      <w:sz w:val="21"/>
      <w:szCs w:val="22"/>
      <w:lang w:val="en-US" w:eastAsia="zh-CN" w:bidi="ar-SA"/>
    </w:rPr>
  </w:style>
  <w:style w:type="character" w:customStyle="1" w:styleId="11">
    <w:name w:val="页眉 Char"/>
    <w:basedOn w:val="7"/>
    <w:link w:val="4"/>
    <w:uiPriority w:val="99"/>
    <w:rPr>
      <w:sz w:val="18"/>
      <w:szCs w:val="18"/>
    </w:rPr>
  </w:style>
  <w:style w:type="character" w:customStyle="1" w:styleId="12">
    <w:name w:val="页脚 Char"/>
    <w:basedOn w:val="7"/>
    <w:link w:val="3"/>
    <w:uiPriority w:val="99"/>
    <w:rPr>
      <w:sz w:val="18"/>
      <w:szCs w:val="18"/>
    </w:rPr>
  </w:style>
  <w:style w:type="paragraph" w:customStyle="1" w:styleId="13">
    <w:name w:val="Defaul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107</Words>
  <Characters>615</Characters>
  <Lines>5</Lines>
  <Paragraphs>1</Paragraphs>
  <TotalTime>1</TotalTime>
  <ScaleCrop>false</ScaleCrop>
  <LinksUpToDate>false</LinksUpToDate>
  <CharactersWithSpaces>721</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2019-04-17T09:00:00Z</dcterms:created>
  <dc:creator>lin</dc:creator>
  <cp:lastModifiedBy>钟岳峰</cp:lastModifiedBy>
  <dcterms:modified xsi:type="dcterms:W3CDTF">2022-08-26T01:39:26Z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