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Cs w:val="32"/>
        </w:rPr>
      </w:pPr>
      <w:r>
        <w:rPr>
          <w:szCs w:val="32"/>
        </w:rPr>
        <w:pict>
          <v:shape id="WJBT" o:spid="_x0000_s1036" o:spt="202" type="#_x0000_t202" style="position:absolute;left:0pt;margin-left:14.15pt;margin-top:147.9pt;height:104.85pt;width:413.85pt;mso-position-vertical-relative:page;z-index:-251656192;mso-width-relative:page;mso-height-relative:page;" filled="f" stroked="f" coordsize="21600,21600">
            <v:path/>
            <v:fill on="f" focussize="0,0"/>
            <v:stroke on="f" joinstyle="miter"/>
            <v:imagedata o:title=""/>
            <o:lock v:ext="edit"/>
            <v:textbox inset="0mm,0mm,0mm,0mm">
              <w:txbxContent>
                <w:p>
                  <w:pPr>
                    <w:spacing w:line="1240" w:lineRule="exact"/>
                    <w:jc w:val="distribute"/>
                    <w:rPr>
                      <w:rFonts w:ascii="方正小标宋简体" w:eastAsia="方正小标宋简体"/>
                      <w:color w:val="FF0000"/>
                      <w:w w:val="55"/>
                      <w:sz w:val="114"/>
                      <w:szCs w:val="114"/>
                    </w:rPr>
                  </w:pPr>
                  <w:r>
                    <w:rPr>
                      <w:rFonts w:hint="eastAsia" w:ascii="方正小标宋简体" w:hAnsi="Times New Roman" w:eastAsia="方正小标宋简体"/>
                      <w:color w:val="FF0000"/>
                      <w:w w:val="55"/>
                      <w:sz w:val="114"/>
                      <w:szCs w:val="114"/>
                    </w:rPr>
                    <w:t>江门市新会区农业农村局文件</w:t>
                  </w:r>
                </w:p>
              </w:txbxContent>
            </v:textbox>
          </v:shape>
        </w:pict>
      </w:r>
    </w:p>
    <w:p>
      <w:pPr>
        <w:spacing w:line="840" w:lineRule="exact"/>
        <w:rPr>
          <w:szCs w:val="32"/>
        </w:rPr>
      </w:pPr>
    </w:p>
    <w:p>
      <w:pPr>
        <w:tabs>
          <w:tab w:val="left" w:pos="2212"/>
        </w:tabs>
        <w:rPr>
          <w:szCs w:val="32"/>
        </w:rPr>
      </w:pPr>
    </w:p>
    <w:p>
      <w:pPr>
        <w:ind w:right="320" w:rightChars="100"/>
        <w:rPr>
          <w:szCs w:val="32"/>
        </w:rPr>
      </w:pPr>
    </w:p>
    <w:p>
      <w:pPr>
        <w:jc w:val="center"/>
        <w:rPr>
          <w:szCs w:val="32"/>
        </w:rPr>
      </w:pPr>
      <w:r>
        <w:rPr>
          <w:rFonts w:hint="eastAsia" w:ascii="仿宋_GB2312" w:hAnsi="仿宋_GB2312" w:eastAsia="仿宋_GB2312" w:cs="仿宋_GB2312"/>
          <w:szCs w:val="32"/>
        </w:rPr>
        <w:t>新农农〔2022〕</w:t>
      </w:r>
      <w:r>
        <w:rPr>
          <w:rFonts w:hint="eastAsia" w:ascii="仿宋_GB2312" w:hAnsi="仿宋_GB2312" w:eastAsia="仿宋_GB2312" w:cs="仿宋_GB2312"/>
          <w:szCs w:val="32"/>
          <w:lang w:val="en-US" w:eastAsia="zh-CN"/>
        </w:rPr>
        <w:t>149</w:t>
      </w:r>
      <w:r>
        <w:rPr>
          <w:rFonts w:hint="eastAsia" w:ascii="仿宋_GB2312" w:hAnsi="仿宋_GB2312" w:eastAsia="仿宋_GB2312" w:cs="仿宋_GB2312"/>
          <w:szCs w:val="32"/>
        </w:rPr>
        <w:t>号</w:t>
      </w:r>
      <w:r>
        <w:rPr>
          <w:szCs w:val="32"/>
        </w:rPr>
        <w:pict>
          <v:shape id="GWXH" o:spid="_x0000_s1035" o:spt="202" type="#_x0000_t202" style="position:absolute;left:0pt;margin-left:-0.05pt;margin-top:104.9pt;height:22.7pt;width:63pt;mso-position-vertical-relative:page;z-index:251659264;mso-width-relative:page;mso-height-relative:page;" filled="f" stroked="f" coordsize="21600,21600">
            <v:path/>
            <v:fill on="f" focussize="0,0"/>
            <v:stroke on="f" joinstyle="miter"/>
            <v:imagedata o:title=""/>
            <o:lock v:ext="edit"/>
            <v:textbox inset="0mm,0mm,0mm,0mm">
              <w:txbxContent>
                <w:p>
                  <w:pPr>
                    <w:rPr>
                      <w:rFonts w:ascii="黑体" w:hAnsi="黑体" w:eastAsia="黑体"/>
                      <w:szCs w:val="32"/>
                    </w:rPr>
                  </w:pPr>
                </w:p>
              </w:txbxContent>
            </v:textbox>
            <w10:anchorlock/>
          </v:shape>
        </w:pict>
      </w:r>
      <w:r>
        <w:rPr>
          <w:szCs w:val="32"/>
        </w:rPr>
        <w:pict>
          <v:line id="BTBX" o:spid="_x0000_s1034" o:spt="20" style="position:absolute;left:0pt;margin-left:-3.05pt;margin-top:262.95pt;height:0pt;width:442.2pt;mso-position-vertical-relative:page;z-index:251659264;mso-width-relative:page;mso-height-relative:page;" stroked="t" coordsize="21600,21600">
            <v:path arrowok="t"/>
            <v:fill focussize="0,0"/>
            <v:stroke weight="1.25pt" color="#FF0000"/>
            <v:imagedata o:title=""/>
            <o:lock v:ext="edit"/>
            <w10:anchorlock/>
          </v:line>
        </w:pict>
      </w:r>
    </w:p>
    <w:p>
      <w:pPr>
        <w:spacing w:line="240" w:lineRule="exact"/>
        <w:rPr>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left"/>
        <w:textAlignment w:val="auto"/>
        <w:rPr>
          <w:rFonts w:hint="eastAsia" w:ascii="方正小标宋简体" w:hAnsi="方正小标宋简体" w:eastAsia="方正小标宋简体" w:cs="方正小标宋简体"/>
          <w:b w:val="0"/>
          <w:bCs/>
          <w:kern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关于</w:t>
      </w:r>
      <w:r>
        <w:rPr>
          <w:rFonts w:hint="eastAsia" w:ascii="方正小标宋简体" w:hAnsi="方正小标宋简体" w:eastAsia="方正小标宋简体" w:cs="方正小标宋简体"/>
          <w:b w:val="0"/>
          <w:bCs/>
          <w:kern w:val="0"/>
          <w:sz w:val="44"/>
          <w:szCs w:val="44"/>
          <w:lang w:eastAsia="zh-CN"/>
        </w:rPr>
        <w:t>印发</w:t>
      </w:r>
      <w:r>
        <w:rPr>
          <w:rFonts w:hint="eastAsia" w:ascii="方正小标宋简体" w:hAnsi="方正小标宋简体" w:eastAsia="方正小标宋简体" w:cs="方正小标宋简体"/>
          <w:b w:val="0"/>
          <w:bCs/>
          <w:kern w:val="0"/>
          <w:sz w:val="44"/>
          <w:szCs w:val="44"/>
        </w:rPr>
        <w:t>《新会区2022年省级水稻病虫害</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jc w:val="center"/>
        <w:textAlignment w:val="auto"/>
        <w:rPr>
          <w:rFonts w:hint="eastAsia" w:ascii="方正小标宋简体" w:hAnsi="方正小标宋简体" w:eastAsia="方正小标宋简体" w:cs="方正小标宋简体"/>
          <w:b w:val="0"/>
          <w:bCs/>
          <w:kern w:val="0"/>
          <w:sz w:val="44"/>
          <w:szCs w:val="44"/>
          <w:lang w:eastAsia="zh-CN"/>
        </w:rPr>
      </w:pPr>
      <w:r>
        <w:rPr>
          <w:rFonts w:hint="eastAsia" w:ascii="方正小标宋简体" w:hAnsi="方正小标宋简体" w:eastAsia="方正小标宋简体" w:cs="方正小标宋简体"/>
          <w:b w:val="0"/>
          <w:bCs/>
          <w:kern w:val="0"/>
          <w:sz w:val="44"/>
          <w:szCs w:val="44"/>
        </w:rPr>
        <w:t>统防统治项目实施方案》</w:t>
      </w:r>
      <w:r>
        <w:rPr>
          <w:rFonts w:hint="eastAsia" w:ascii="方正小标宋简体" w:hAnsi="方正小标宋简体" w:eastAsia="方正小标宋简体" w:cs="方正小标宋简体"/>
          <w:b w:val="0"/>
          <w:bCs/>
          <w:kern w:val="0"/>
          <w:sz w:val="44"/>
          <w:szCs w:val="44"/>
          <w:lang w:eastAsia="zh-CN"/>
        </w:rPr>
        <w:t>的通知</w:t>
      </w:r>
    </w:p>
    <w:p>
      <w:pPr>
        <w:keepNext w:val="0"/>
        <w:keepLines w:val="0"/>
        <w:pageBreakBefore w:val="0"/>
        <w:kinsoku/>
        <w:wordWrap/>
        <w:overflowPunct/>
        <w:topLinePunct w:val="0"/>
        <w:autoSpaceDE/>
        <w:autoSpaceDN/>
        <w:bidi w:val="0"/>
        <w:spacing w:line="560" w:lineRule="exact"/>
        <w:ind w:left="0" w:leftChars="0" w:right="0"/>
        <w:jc w:val="left"/>
        <w:textAlignment w:val="auto"/>
        <w:rPr>
          <w:rFonts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各镇（街）农业农村办公室：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为深入贯彻落实习近平总书记关于保障粮食安全的重要指示批示精神，切实做好抗灾夺丰收工作，我局制定</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新会区</w:t>
      </w:r>
      <w:bookmarkStart w:id="0" w:name="_GoBack"/>
      <w:bookmarkEnd w:id="0"/>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ascii="仿宋_GB2312" w:hAnsi="仿宋_GB2312" w:eastAsia="仿宋_GB2312" w:cs="仿宋_GB2312"/>
          <w:sz w:val="32"/>
          <w:szCs w:val="32"/>
        </w:rPr>
        <w:t>年</w:t>
      </w:r>
      <w:r>
        <w:rPr>
          <w:rFonts w:hint="eastAsia" w:ascii="仿宋_GB2312" w:hAnsi="仿宋_GB2312" w:eastAsia="仿宋_GB2312" w:cs="仿宋_GB2312"/>
          <w:sz w:val="32"/>
          <w:szCs w:val="32"/>
        </w:rPr>
        <w:t>新会区</w:t>
      </w:r>
      <w:r>
        <w:rPr>
          <w:rFonts w:ascii="仿宋_GB2312" w:hAnsi="仿宋_GB2312" w:eastAsia="仿宋_GB2312" w:cs="仿宋_GB2312"/>
          <w:sz w:val="32"/>
          <w:szCs w:val="32"/>
        </w:rPr>
        <w:t>水稻病虫害统防统</w:t>
      </w:r>
      <w:r>
        <w:rPr>
          <w:rFonts w:hint="eastAsia" w:ascii="仿宋_GB2312" w:hAnsi="仿宋_GB2312" w:eastAsia="仿宋_GB2312" w:cs="仿宋_GB2312"/>
          <w:sz w:val="32"/>
          <w:szCs w:val="32"/>
        </w:rPr>
        <w:t>治项目</w:t>
      </w:r>
      <w:r>
        <w:rPr>
          <w:rFonts w:ascii="仿宋_GB2312" w:hAnsi="仿宋_GB2312" w:eastAsia="仿宋_GB2312" w:cs="仿宋_GB2312"/>
          <w:sz w:val="32"/>
          <w:szCs w:val="32"/>
        </w:rPr>
        <w:t>实施方</w:t>
      </w:r>
      <w:r>
        <w:rPr>
          <w:rFonts w:hint="eastAsia" w:ascii="仿宋_GB2312" w:hAnsi="仿宋_GB2312" w:eastAsia="仿宋_GB2312" w:cs="仿宋_GB2312"/>
          <w:sz w:val="32"/>
          <w:szCs w:val="32"/>
        </w:rPr>
        <w:t>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现</w:t>
      </w:r>
      <w:r>
        <w:rPr>
          <w:rFonts w:hint="eastAsia" w:ascii="仿宋_GB2312" w:hAnsi="仿宋_GB2312" w:eastAsia="仿宋_GB2312" w:cs="仿宋_GB2312"/>
          <w:sz w:val="32"/>
          <w:szCs w:val="32"/>
        </w:rPr>
        <w:t>印发给你们，请认真贯彻执行</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947" w:leftChars="196" w:right="0" w:hanging="320" w:hangingChars="1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righ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江门市新会区农业农村局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2022年9月</w:t>
      </w:r>
      <w:r>
        <w:rPr>
          <w:rFonts w:hint="eastAsia" w:ascii="仿宋_GB2312" w:hAnsi="仿宋_GB2312" w:eastAsia="仿宋_GB2312" w:cs="仿宋_GB2312"/>
          <w:sz w:val="32"/>
          <w:szCs w:val="32"/>
          <w:highlight w:val="none"/>
          <w:lang w:val="en-US" w:eastAsia="zh-CN"/>
        </w:rPr>
        <w:t>21</w:t>
      </w:r>
      <w:r>
        <w:rPr>
          <w:rFonts w:hint="eastAsia" w:ascii="仿宋_GB2312" w:hAnsi="仿宋_GB2312" w:eastAsia="仿宋_GB2312" w:cs="仿宋_GB2312"/>
          <w:sz w:val="32"/>
          <w:szCs w:val="32"/>
        </w:rPr>
        <w:t>日</w:t>
      </w:r>
    </w:p>
    <w:p>
      <w:pPr>
        <w:keepNext w:val="0"/>
        <w:keepLines w:val="0"/>
        <w:pageBreakBefore w:val="0"/>
        <w:kinsoku/>
        <w:wordWrap/>
        <w:overflowPunct/>
        <w:topLinePunct w:val="0"/>
        <w:autoSpaceDE/>
        <w:autoSpaceDN/>
        <w:bidi w:val="0"/>
        <w:spacing w:line="560" w:lineRule="exact"/>
        <w:ind w:left="0" w:leftChars="0" w:right="0"/>
        <w:jc w:val="left"/>
        <w:textAlignment w:val="auto"/>
        <w:rPr>
          <w:rFonts w:ascii="仿宋" w:hAnsi="仿宋" w:eastAsia="仿宋" w:cs="仿宋"/>
          <w:sz w:val="32"/>
          <w:szCs w:val="32"/>
        </w:rPr>
      </w:pPr>
    </w:p>
    <w:p>
      <w:pPr>
        <w:pStyle w:val="2"/>
        <w:rPr>
          <w:rFonts w:ascii="仿宋" w:hAnsi="仿宋" w:eastAsia="仿宋" w:cs="仿宋"/>
          <w:sz w:val="32"/>
          <w:szCs w:val="32"/>
        </w:rPr>
      </w:pPr>
    </w:p>
    <w:p/>
    <w:p>
      <w:pPr>
        <w:keepNext w:val="0"/>
        <w:keepLines w:val="0"/>
        <w:pageBreakBefore w:val="0"/>
        <w:kinsoku/>
        <w:wordWrap/>
        <w:overflowPunct/>
        <w:topLinePunct w:val="0"/>
        <w:autoSpaceDE/>
        <w:autoSpaceDN/>
        <w:bidi w:val="0"/>
        <w:spacing w:line="560" w:lineRule="exact"/>
        <w:ind w:left="0" w:leftChars="0" w:right="0"/>
        <w:jc w:val="center"/>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梁建兴</w:t>
      </w:r>
      <w:r>
        <w:rPr>
          <w:rFonts w:hint="eastAsia" w:ascii="仿宋_GB2312" w:hAnsi="仿宋_GB2312" w:eastAsia="仿宋_GB2312" w:cs="仿宋_GB2312"/>
          <w:sz w:val="32"/>
          <w:szCs w:val="32"/>
          <w:highlight w:val="none"/>
        </w:rPr>
        <w:t>，联系电话：</w:t>
      </w:r>
      <w:r>
        <w:rPr>
          <w:rFonts w:hint="eastAsia" w:ascii="仿宋_GB2312" w:hAnsi="仿宋_GB2312" w:eastAsia="仿宋_GB2312" w:cs="仿宋_GB2312"/>
          <w:sz w:val="32"/>
          <w:szCs w:val="32"/>
          <w:highlight w:val="none"/>
          <w:lang w:val="en-US" w:eastAsia="zh-CN"/>
        </w:rPr>
        <w:t>6669800</w:t>
      </w:r>
      <w:r>
        <w:rPr>
          <w:rFonts w:hint="eastAsia" w:ascii="仿宋_GB2312" w:hAnsi="仿宋_GB2312" w:eastAsia="仿宋_GB2312" w:cs="仿宋_GB2312"/>
          <w:sz w:val="32"/>
          <w:szCs w:val="32"/>
          <w:highlight w:val="none"/>
        </w:rPr>
        <w:t>）</w:t>
      </w:r>
    </w:p>
    <w:p>
      <w:pPr>
        <w:spacing w:line="600" w:lineRule="exact"/>
        <w:rPr>
          <w:rFonts w:ascii="仿宋_GB2312" w:hAnsi="仿宋_GB2312" w:eastAsia="仿宋_GB2312" w:cs="仿宋_GB2312"/>
          <w:b/>
          <w:szCs w:val="32"/>
        </w:rPr>
      </w:pPr>
    </w:p>
    <w:p>
      <w:pPr>
        <w:spacing w:line="560" w:lineRule="exact"/>
        <w:rPr>
          <w:rFonts w:ascii="仿宋" w:hAnsi="仿宋"/>
          <w:szCs w:val="32"/>
        </w:rPr>
      </w:pPr>
    </w:p>
    <w:p>
      <w:pPr>
        <w:spacing w:line="560" w:lineRule="exact"/>
        <w:rPr>
          <w:rFonts w:ascii="仿宋" w:hAnsi="仿宋"/>
          <w:szCs w:val="32"/>
        </w:rPr>
      </w:pPr>
    </w:p>
    <w:p>
      <w:pPr>
        <w:spacing w:line="560" w:lineRule="exact"/>
        <w:rPr>
          <w:rFonts w:ascii="仿宋" w:hAnsi="仿宋"/>
          <w:szCs w:val="32"/>
        </w:rPr>
      </w:pPr>
    </w:p>
    <w:p>
      <w:pPr>
        <w:spacing w:line="560" w:lineRule="exact"/>
        <w:rPr>
          <w:rFonts w:ascii="仿宋" w:hAnsi="仿宋"/>
          <w:szCs w:val="32"/>
        </w:rPr>
      </w:pPr>
    </w:p>
    <w:p>
      <w:pPr>
        <w:spacing w:line="560" w:lineRule="exact"/>
        <w:rPr>
          <w:rFonts w:ascii="仿宋" w:hAnsi="仿宋"/>
          <w:szCs w:val="32"/>
        </w:rPr>
      </w:pPr>
    </w:p>
    <w:p>
      <w:pPr>
        <w:spacing w:line="560" w:lineRule="exact"/>
        <w:rPr>
          <w:rFonts w:ascii="仿宋" w:hAnsi="仿宋"/>
          <w:szCs w:val="32"/>
        </w:rPr>
      </w:pPr>
    </w:p>
    <w:p>
      <w:pPr>
        <w:spacing w:line="560" w:lineRule="exact"/>
        <w:rPr>
          <w:rFonts w:ascii="仿宋" w:hAnsi="仿宋"/>
          <w:szCs w:val="32"/>
        </w:rPr>
      </w:pPr>
    </w:p>
    <w:p>
      <w:pPr>
        <w:spacing w:line="560" w:lineRule="exact"/>
        <w:rPr>
          <w:rFonts w:ascii="仿宋" w:hAnsi="仿宋"/>
          <w:szCs w:val="32"/>
        </w:rPr>
      </w:pPr>
    </w:p>
    <w:p>
      <w:pPr>
        <w:spacing w:line="560" w:lineRule="exact"/>
        <w:rPr>
          <w:rFonts w:ascii="仿宋" w:hAnsi="仿宋"/>
          <w:szCs w:val="32"/>
        </w:rPr>
      </w:pPr>
    </w:p>
    <w:p>
      <w:pPr>
        <w:spacing w:line="560" w:lineRule="exact"/>
        <w:rPr>
          <w:rFonts w:ascii="仿宋" w:hAnsi="仿宋"/>
          <w:szCs w:val="32"/>
        </w:rPr>
      </w:pPr>
    </w:p>
    <w:p>
      <w:pPr>
        <w:spacing w:line="560" w:lineRule="exact"/>
        <w:rPr>
          <w:rFonts w:hint="eastAsia" w:ascii="仿宋" w:hAnsi="仿宋" w:eastAsia="仿宋"/>
          <w:szCs w:val="32"/>
          <w:lang w:eastAsia="zh-CN"/>
        </w:rPr>
      </w:pPr>
    </w:p>
    <w:p>
      <w:pPr>
        <w:spacing w:line="560" w:lineRule="exact"/>
        <w:rPr>
          <w:rFonts w:ascii="仿宋" w:hAnsi="仿宋"/>
          <w:szCs w:val="32"/>
        </w:rPr>
      </w:pPr>
    </w:p>
    <w:p>
      <w:pPr>
        <w:spacing w:line="560" w:lineRule="exact"/>
        <w:rPr>
          <w:rFonts w:ascii="仿宋" w:hAnsi="仿宋"/>
          <w:szCs w:val="32"/>
        </w:rPr>
      </w:pPr>
    </w:p>
    <w:p>
      <w:pPr>
        <w:spacing w:line="560" w:lineRule="exact"/>
        <w:rPr>
          <w:rFonts w:ascii="仿宋" w:hAnsi="仿宋"/>
          <w:szCs w:val="32"/>
        </w:rPr>
      </w:pPr>
    </w:p>
    <w:p>
      <w:pPr>
        <w:spacing w:line="560" w:lineRule="exact"/>
        <w:rPr>
          <w:rFonts w:ascii="仿宋" w:hAnsi="仿宋"/>
          <w:szCs w:val="32"/>
        </w:rPr>
      </w:pPr>
    </w:p>
    <w:p>
      <w:pPr>
        <w:spacing w:line="560" w:lineRule="exact"/>
        <w:rPr>
          <w:rFonts w:ascii="仿宋" w:hAnsi="仿宋"/>
          <w:szCs w:val="32"/>
        </w:rPr>
      </w:pPr>
    </w:p>
    <w:p/>
    <w:p>
      <w:pPr>
        <w:spacing w:line="560" w:lineRule="exact"/>
        <w:rPr>
          <w:rFonts w:hint="eastAsia" w:ascii="仿宋_GB2312" w:hAnsi="仿宋_GB2312" w:eastAsia="仿宋_GB2312" w:cs="仿宋_GB2312"/>
          <w:szCs w:val="32"/>
        </w:rPr>
      </w:pPr>
      <w:r>
        <w:rPr>
          <w:rFonts w:hint="eastAsia" w:ascii="黑体" w:hAnsi="黑体" w:eastAsia="黑体" w:cs="黑体"/>
          <w:b w:val="0"/>
          <w:bCs/>
          <w:szCs w:val="32"/>
        </w:rPr>
        <w:t>公开方式：</w:t>
      </w:r>
      <w:r>
        <w:rPr>
          <w:rFonts w:hint="eastAsia" w:ascii="仿宋_GB2312" w:hAnsi="仿宋_GB2312" w:eastAsia="仿宋_GB2312" w:cs="仿宋_GB2312"/>
          <w:szCs w:val="32"/>
          <w:lang w:val="en-US" w:eastAsia="zh-CN"/>
        </w:rPr>
        <w:t>主动</w:t>
      </w:r>
      <w:r>
        <w:rPr>
          <w:rFonts w:hint="eastAsia" w:ascii="仿宋_GB2312" w:hAnsi="仿宋_GB2312" w:eastAsia="仿宋_GB2312" w:cs="仿宋_GB2312"/>
          <w:szCs w:val="32"/>
        </w:rPr>
        <w:t>公开</w:t>
      </w:r>
    </w:p>
    <w:p>
      <w:pPr>
        <w:pStyle w:val="2"/>
        <w:pBdr>
          <w:bottom w:val="single" w:color="auto" w:sz="4" w:space="0"/>
        </w:pBdr>
        <w:rPr>
          <w:rFonts w:hint="eastAsia"/>
        </w:rPr>
      </w:pPr>
    </w:p>
    <w:p>
      <w:pPr>
        <w:pStyle w:val="2"/>
        <w:ind w:left="948" w:hanging="960" w:hangingChars="300"/>
        <w:rPr>
          <w:rFonts w:hint="default"/>
          <w:lang w:val="en-US" w:eastAsia="zh-CN"/>
        </w:rPr>
      </w:pPr>
      <w:r>
        <w:rPr>
          <w:rFonts w:hint="eastAsia" w:ascii="仿宋_GB2312" w:hAnsi="仿宋_GB2312" w:eastAsia="仿宋_GB2312" w:cs="仿宋_GB2312"/>
          <w:szCs w:val="32"/>
          <w:lang w:val="en-US" w:eastAsia="zh-CN"/>
        </w:rPr>
        <w:t>抄送：江门市农业农村局，各镇（街）人民政府（办事处），新会区财政局。</w:t>
      </w:r>
    </w:p>
    <w:p>
      <w:pPr>
        <w:pBdr>
          <w:top w:val="single" w:color="auto" w:sz="6" w:space="1"/>
          <w:bottom w:val="single" w:color="auto" w:sz="6" w:space="1"/>
        </w:pBdr>
        <w:spacing w:line="560" w:lineRule="exact"/>
        <w:rPr>
          <w:rFonts w:hint="eastAsia" w:ascii="仿宋_GB2312" w:hAnsi="仿宋_GB2312" w:eastAsia="仿宋_GB2312" w:cs="仿宋_GB2312"/>
          <w:szCs w:val="32"/>
        </w:rPr>
      </w:pPr>
      <w:r>
        <w:rPr>
          <w:rFonts w:hint="eastAsia" w:ascii="仿宋_GB2312" w:hAnsi="仿宋_GB2312" w:eastAsia="仿宋_GB2312" w:cs="仿宋_GB2312"/>
          <w:szCs w:val="32"/>
        </w:rPr>
        <w:t xml:space="preserve"> 江门市新会区农业农村局办公室     2022年</w:t>
      </w:r>
      <w:r>
        <w:rPr>
          <w:rFonts w:hint="eastAsia" w:ascii="仿宋_GB2312" w:hAnsi="仿宋_GB2312" w:eastAsia="仿宋_GB2312" w:cs="仿宋_GB2312"/>
          <w:szCs w:val="32"/>
          <w:lang w:val="en-US" w:eastAsia="zh-CN"/>
        </w:rPr>
        <w:t>9</w:t>
      </w:r>
      <w:r>
        <w:rPr>
          <w:rFonts w:hint="eastAsia" w:ascii="仿宋_GB2312" w:hAnsi="仿宋_GB2312" w:eastAsia="仿宋_GB2312" w:cs="仿宋_GB2312"/>
          <w:szCs w:val="32"/>
        </w:rPr>
        <w:t>月</w:t>
      </w:r>
      <w:r>
        <w:rPr>
          <w:rFonts w:hint="eastAsia" w:ascii="仿宋_GB2312" w:hAnsi="仿宋_GB2312" w:eastAsia="仿宋_GB2312" w:cs="仿宋_GB2312"/>
          <w:szCs w:val="32"/>
          <w:lang w:val="en-US" w:eastAsia="zh-CN"/>
        </w:rPr>
        <w:t>21</w:t>
      </w:r>
      <w:r>
        <w:rPr>
          <w:rFonts w:hint="eastAsia" w:ascii="仿宋_GB2312" w:hAnsi="仿宋_GB2312" w:eastAsia="仿宋_GB2312" w:cs="仿宋_GB2312"/>
          <w:szCs w:val="32"/>
        </w:rPr>
        <w:t>日印发</w:t>
      </w:r>
    </w:p>
    <w:p>
      <w:pP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附件：</w:t>
      </w:r>
    </w:p>
    <w:p>
      <w:pPr>
        <w:jc w:val="center"/>
        <w:rPr>
          <w:rFonts w:hint="eastAsia" w:ascii="新宋体" w:hAnsi="新宋体" w:eastAsia="新宋体" w:cs="宋体"/>
          <w:b/>
          <w:bCs/>
          <w:sz w:val="44"/>
          <w:szCs w:val="44"/>
          <w:highlight w:val="none"/>
        </w:rPr>
      </w:pPr>
    </w:p>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方正小标宋简体" w:hAnsi="方正小标宋简体" w:eastAsia="方正小标宋简体" w:cs="方正小标宋简体"/>
          <w:b w:val="0"/>
          <w:bCs/>
          <w:kern w:val="0"/>
          <w:sz w:val="44"/>
          <w:szCs w:val="44"/>
          <w:highlight w:val="none"/>
        </w:rPr>
      </w:pPr>
      <w:r>
        <w:rPr>
          <w:rFonts w:hint="eastAsia" w:ascii="方正小标宋简体" w:hAnsi="方正小标宋简体" w:eastAsia="方正小标宋简体" w:cs="方正小标宋简体"/>
          <w:b w:val="0"/>
          <w:bCs/>
          <w:kern w:val="0"/>
          <w:sz w:val="44"/>
          <w:szCs w:val="44"/>
          <w:highlight w:val="none"/>
        </w:rPr>
        <w:t>新会区2022年省级水稻病虫害统防统治</w:t>
      </w:r>
    </w:p>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方正小标宋简体" w:hAnsi="方正小标宋简体" w:eastAsia="方正小标宋简体" w:cs="方正小标宋简体"/>
          <w:b w:val="0"/>
          <w:bCs/>
          <w:kern w:val="0"/>
          <w:sz w:val="44"/>
          <w:szCs w:val="44"/>
          <w:highlight w:val="none"/>
        </w:rPr>
      </w:pPr>
      <w:r>
        <w:rPr>
          <w:rFonts w:hint="eastAsia" w:ascii="方正小标宋简体" w:hAnsi="方正小标宋简体" w:eastAsia="方正小标宋简体" w:cs="方正小标宋简体"/>
          <w:b w:val="0"/>
          <w:bCs/>
          <w:kern w:val="0"/>
          <w:sz w:val="44"/>
          <w:szCs w:val="44"/>
          <w:highlight w:val="none"/>
        </w:rPr>
        <w:t>项目实施方案</w:t>
      </w:r>
    </w:p>
    <w:p>
      <w:pPr>
        <w:rPr>
          <w:rFonts w:ascii="仿宋" w:hAnsi="仿宋" w:eastAsia="仿宋" w:cs="仿宋"/>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为深入贯彻落实习近平总书记关于保障粮食安全的重要指示批示精神，切实做好抗灾夺丰收工作，根据广东省农业农村厅《关于印发2022年省级水稻病虫害统防统治项目实施方案的通知》（粤农农办〔2022〕134号）、《关于尽快推进2022年省级水稻病虫害统防统治项目的几点要求》</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广东省财政厅《关于下达2022年省级涉农统筹整合转移支付资金（粮食生产）的通知》（粤农财〔2022〕139号）</w:t>
      </w:r>
      <w:r>
        <w:rPr>
          <w:rFonts w:hint="eastAsia" w:ascii="仿宋_GB2312" w:hAnsi="仿宋_GB2312" w:eastAsia="仿宋_GB2312" w:cs="仿宋_GB2312"/>
          <w:sz w:val="32"/>
          <w:szCs w:val="32"/>
          <w:highlight w:val="none"/>
          <w:lang w:eastAsia="zh-CN"/>
        </w:rPr>
        <w:t>和江门市财政局《关于下达2022年省级涉农统筹整合转移支付资金（粮食生产）的通知》（江财农〔2022〕78号）</w:t>
      </w:r>
      <w:r>
        <w:rPr>
          <w:rFonts w:hint="eastAsia" w:ascii="仿宋_GB2312" w:hAnsi="仿宋_GB2312" w:eastAsia="仿宋_GB2312" w:cs="仿宋_GB2312"/>
          <w:sz w:val="32"/>
          <w:szCs w:val="32"/>
          <w:highlight w:val="none"/>
        </w:rPr>
        <w:t>下达的绩效指标任务和要求，</w:t>
      </w:r>
      <w:r>
        <w:rPr>
          <w:rFonts w:hint="eastAsia" w:ascii="仿宋_GB2312" w:hAnsi="仿宋_GB2312" w:eastAsia="仿宋_GB2312" w:cs="仿宋_GB2312"/>
          <w:sz w:val="32"/>
          <w:szCs w:val="32"/>
          <w:highlight w:val="none"/>
          <w:lang w:eastAsia="zh-CN"/>
        </w:rPr>
        <w:t>以及</w:t>
      </w:r>
      <w:r>
        <w:rPr>
          <w:rFonts w:hint="eastAsia" w:ascii="仿宋_GB2312" w:hAnsi="仿宋_GB2312" w:eastAsia="仿宋_GB2312" w:cs="仿宋_GB2312"/>
          <w:sz w:val="32"/>
          <w:szCs w:val="32"/>
          <w:highlight w:val="none"/>
        </w:rPr>
        <w:t>财政部《关于开展政府采购意向公开工作的通知》（财库〔2020〕10号）</w:t>
      </w:r>
      <w:r>
        <w:rPr>
          <w:rFonts w:hint="eastAsia" w:ascii="仿宋_GB2312" w:hAnsi="仿宋_GB2312" w:eastAsia="仿宋_GB2312" w:cs="仿宋_GB2312"/>
          <w:sz w:val="32"/>
          <w:szCs w:val="32"/>
          <w:highlight w:val="none"/>
          <w:lang w:eastAsia="zh-CN"/>
        </w:rPr>
        <w:t>等</w:t>
      </w:r>
      <w:r>
        <w:rPr>
          <w:rFonts w:hint="eastAsia" w:ascii="仿宋_GB2312" w:hAnsi="仿宋_GB2312" w:eastAsia="仿宋_GB2312" w:cs="仿宋_GB2312"/>
          <w:sz w:val="32"/>
          <w:szCs w:val="32"/>
          <w:highlight w:val="none"/>
        </w:rPr>
        <w:t>政府采购管理规定</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借鉴我区实施相关项目的经验，为落实省级水稻病虫害统防统治项目资金，切实做好2022年我区水稻病虫害统防统治项目工作，结合水稻生产实际，制定本方案。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一、指导思想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习近平新时代中国特色社会主义思想为指导，贯彻落实党中央、国务院关于粮食安全的决策部署，以及省委、省政府主要领导指示批示要求，全面落实粮食安全党政同责、粮食安全责任制考核，保障粮食生产安全、质量安全以及生态环境安全，加快推进农作物病虫害专业化防治，扶持壮大农作物病虫害专业化防治服务组织，建立农村新型社会化服务体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二、绩效目标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开展2022年晚稻病虫害统防统治，开展水稻“三虫两病”等重大病虫防控，保障粮食安全。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实施晚稻统防统治面积不少于6万亩。项目区水稻“两迁”害虫、稻瘟病、纹枯病等病虫害有效防控，病虫灾害损失率控制在5%以下，农药使用量减少10%，农药包装废弃物回收率达100%，群众满意度85%以上。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三、实施内容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kern w:val="0"/>
          <w:sz w:val="32"/>
          <w:szCs w:val="32"/>
        </w:rPr>
        <w:t>（一</w:t>
      </w:r>
      <w:r>
        <w:rPr>
          <w:rFonts w:hint="eastAsia" w:ascii="楷体_GB2312" w:hAnsi="楷体_GB2312" w:eastAsia="楷体_GB2312" w:cs="楷体_GB2312"/>
          <w:kern w:val="0"/>
          <w:sz w:val="32"/>
          <w:szCs w:val="32"/>
          <w:lang w:eastAsia="zh-CN"/>
        </w:rPr>
        <w:t>）</w:t>
      </w:r>
      <w:r>
        <w:rPr>
          <w:rFonts w:hint="eastAsia" w:ascii="楷体_GB2312" w:hAnsi="楷体_GB2312" w:eastAsia="楷体_GB2312" w:cs="楷体_GB2312"/>
          <w:kern w:val="0"/>
          <w:sz w:val="32"/>
          <w:szCs w:val="32"/>
        </w:rPr>
        <w:t>开展</w:t>
      </w:r>
      <w:r>
        <w:rPr>
          <w:rFonts w:hint="eastAsia" w:ascii="楷体_GB2312" w:hAnsi="楷体_GB2312" w:eastAsia="楷体_GB2312" w:cs="楷体_GB2312"/>
          <w:sz w:val="32"/>
          <w:szCs w:val="32"/>
        </w:rPr>
        <w:t>2022年晚稻病虫害统防统治。</w:t>
      </w:r>
      <w:r>
        <w:rPr>
          <w:rFonts w:hint="eastAsia" w:ascii="仿宋_GB2312" w:hAnsi="仿宋_GB2312" w:eastAsia="仿宋_GB2312" w:cs="仿宋_GB2312"/>
          <w:color w:val="000000"/>
          <w:kern w:val="0"/>
          <w:sz w:val="32"/>
          <w:szCs w:val="32"/>
        </w:rPr>
        <w:t>扶持发展病虫害专业化防治组织，使用植保无人机等先进植保器械推进水稻病虫统防统治，提升病虫害防治效果。</w:t>
      </w:r>
      <w:r>
        <w:rPr>
          <w:rFonts w:hint="eastAsia" w:ascii="仿宋_GB2312" w:hAnsi="仿宋_GB2312" w:eastAsia="仿宋_GB2312" w:cs="仿宋_GB2312"/>
          <w:kern w:val="0"/>
          <w:sz w:val="32"/>
          <w:szCs w:val="32"/>
        </w:rPr>
        <w:t>项目区推进实施</w:t>
      </w:r>
      <w:r>
        <w:rPr>
          <w:rFonts w:hint="eastAsia" w:ascii="仿宋_GB2312" w:hAnsi="仿宋_GB2312" w:eastAsia="仿宋_GB2312" w:cs="仿宋_GB2312"/>
          <w:sz w:val="32"/>
          <w:szCs w:val="32"/>
        </w:rPr>
        <w:t>水稻病虫害统防统治不少于6万亩。采取“遴选确定三个专业化服务组织（下称中标供应商）与服务对象签订服务合同或商定服务方案，开展1次水稻统防统治服务（含农药、叶面肥）”的方式，广泛发动种植户参与统防统治作业，群众满意度85%以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kern w:val="0"/>
          <w:sz w:val="32"/>
          <w:szCs w:val="32"/>
        </w:rPr>
        <w:t>（二）保障粮食生产安全。</w:t>
      </w:r>
      <w:r>
        <w:rPr>
          <w:rFonts w:hint="eastAsia" w:ascii="仿宋_GB2312" w:hAnsi="仿宋_GB2312" w:eastAsia="仿宋_GB2312" w:cs="仿宋_GB2312"/>
          <w:sz w:val="32"/>
          <w:szCs w:val="32"/>
        </w:rPr>
        <w:t>贯彻落实习近平总书记关于保障粮食安全的重要指示批示精神，切实做好抗灾夺丰收工作。项目区水稻病虫灾害损失率控制在5%以下，完成“虫口夺粮”任务。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（三）推进农药减量增效。</w:t>
      </w:r>
      <w:r>
        <w:rPr>
          <w:rFonts w:hint="eastAsia" w:ascii="仿宋_GB2312" w:hAnsi="仿宋_GB2312" w:eastAsia="仿宋_GB2312" w:cs="仿宋_GB2312"/>
          <w:kern w:val="0"/>
          <w:sz w:val="32"/>
          <w:szCs w:val="32"/>
        </w:rPr>
        <w:t>持续推进农药使用减量增效是国家和省“十四五”规划中重要政策任务。加强科学合理用药技术指导，大力推广新型高效环保剂型农药，以及纳米农药、减量助剂等有效减药增效的技术和机械，将农药利用量减少10%，促进农药使用减量增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（四）实施包装废弃物回收。</w:t>
      </w:r>
      <w:r>
        <w:rPr>
          <w:rFonts w:hint="eastAsia" w:ascii="仿宋_GB2312" w:hAnsi="仿宋_GB2312" w:eastAsia="仿宋_GB2312" w:cs="仿宋_GB2312"/>
          <w:kern w:val="0"/>
          <w:sz w:val="32"/>
          <w:szCs w:val="32"/>
        </w:rPr>
        <w:t>按照省农药包装废弃物回收处理实施方案要求，加强调查监测农药包装废弃物产生、回收情况，准确统计项目区农药使用量，及时统计汇总农药包装废弃物回收量，</w:t>
      </w:r>
      <w:r>
        <w:rPr>
          <w:rFonts w:hint="eastAsia" w:ascii="仿宋_GB2312" w:hAnsi="仿宋_GB2312" w:eastAsia="仿宋_GB2312" w:cs="仿宋_GB2312"/>
          <w:sz w:val="32"/>
          <w:szCs w:val="32"/>
        </w:rPr>
        <w:t>农药包装废弃物回收率达100%，</w:t>
      </w:r>
      <w:r>
        <w:rPr>
          <w:rFonts w:hint="eastAsia" w:ascii="仿宋_GB2312" w:hAnsi="仿宋_GB2312" w:eastAsia="仿宋_GB2312" w:cs="仿宋_GB2312"/>
          <w:kern w:val="0"/>
          <w:sz w:val="32"/>
          <w:szCs w:val="32"/>
        </w:rPr>
        <w:t>鼓励和支持对农药包装废弃物进行资源化利用。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四、实施期限</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2022晚造（2022年8月至2022年11月）。其中：</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（一）申报时间：自本实施方案印刷发之日</w:t>
      </w:r>
      <w:r>
        <w:rPr>
          <w:rFonts w:hint="eastAsia" w:ascii="仿宋_GB2312" w:hAnsi="仿宋_GB2312" w:eastAsia="仿宋_GB2312" w:cs="仿宋_GB2312"/>
          <w:sz w:val="32"/>
          <w:szCs w:val="32"/>
        </w:rPr>
        <w:t>起至2022年9月</w:t>
      </w:r>
      <w:r>
        <w:rPr>
          <w:rFonts w:hint="eastAsia" w:ascii="仿宋_GB2312" w:hAnsi="仿宋_GB2312" w:eastAsia="仿宋_GB2312" w:cs="仿宋_GB2312"/>
          <w:sz w:val="32"/>
          <w:szCs w:val="32"/>
          <w:highlight w:val="none"/>
          <w:lang w:val="en-US" w:eastAsia="zh-CN"/>
        </w:rPr>
        <w:t>27</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前</w:t>
      </w:r>
      <w:r>
        <w:rPr>
          <w:rFonts w:hint="eastAsia" w:ascii="仿宋_GB2312" w:hAnsi="仿宋_GB2312" w:eastAsia="仿宋_GB2312" w:cs="仿宋_GB2312"/>
          <w:sz w:val="32"/>
          <w:szCs w:val="32"/>
        </w:rPr>
        <w:t>（含登记、公示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因时间紧、任务重，公示期</w:t>
      </w:r>
      <w:r>
        <w:rPr>
          <w:rFonts w:hint="eastAsia" w:ascii="仿宋_GB2312" w:hAnsi="仿宋_GB2312" w:eastAsia="仿宋_GB2312" w:cs="仿宋_GB2312"/>
          <w:sz w:val="32"/>
          <w:szCs w:val="32"/>
          <w:highlight w:val="none"/>
        </w:rPr>
        <w:t>5</w:t>
      </w:r>
      <w:r>
        <w:rPr>
          <w:rFonts w:hint="eastAsia" w:ascii="仿宋_GB2312" w:hAnsi="仿宋_GB2312" w:eastAsia="仿宋_GB2312" w:cs="仿宋_GB2312"/>
          <w:sz w:val="32"/>
          <w:szCs w:val="32"/>
        </w:rPr>
        <w:t>天）。</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（二）中标供应商实施时间：2022年9月至11月。</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kern w:val="0"/>
          <w:sz w:val="32"/>
          <w:szCs w:val="32"/>
        </w:rPr>
        <w:t>五、实施区域的确定</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rPr>
        <w:t>（一）各镇（街）农业农村办公室[下称镇（街）农办]以整村区域推进和优先扶持今年挖潜新增水稻等方式，遴选2022年晚造水稻种植积极性高、面积较大，适合开展本项目</w:t>
      </w:r>
      <w:r>
        <w:rPr>
          <w:rFonts w:hint="eastAsia" w:ascii="仿宋_GB2312" w:hAnsi="仿宋_GB2312" w:eastAsia="仿宋_GB2312" w:cs="仿宋_GB2312"/>
          <w:b w:val="0"/>
          <w:bCs w:val="0"/>
          <w:sz w:val="32"/>
          <w:szCs w:val="32"/>
          <w:highlight w:val="none"/>
        </w:rPr>
        <w:t>的实施村，村委会公示遴选参与农户。基于我区9月的新冠疫情，为减低因农户签章指模的接触风险，由实施村强化宣传，</w:t>
      </w:r>
      <w:r>
        <w:rPr>
          <w:rFonts w:hint="eastAsia" w:ascii="仿宋_GB2312" w:hAnsi="仿宋_GB2312" w:eastAsia="仿宋_GB2312" w:cs="仿宋_GB2312"/>
          <w:b w:val="0"/>
          <w:bCs w:val="0"/>
          <w:sz w:val="32"/>
          <w:szCs w:val="32"/>
          <w:highlight w:val="none"/>
          <w:lang w:eastAsia="zh-CN"/>
        </w:rPr>
        <w:t>并</w:t>
      </w:r>
      <w:r>
        <w:rPr>
          <w:rFonts w:hint="eastAsia" w:ascii="仿宋_GB2312" w:hAnsi="仿宋_GB2312" w:eastAsia="仿宋_GB2312" w:cs="仿宋_GB2312"/>
          <w:b w:val="0"/>
          <w:bCs w:val="0"/>
          <w:sz w:val="32"/>
          <w:szCs w:val="32"/>
          <w:highlight w:val="none"/>
        </w:rPr>
        <w:t>依据本村全体农户的今年晚造水稻种植情况，统一编制《2022年新会区水稻病虫害统防统治项目</w:t>
      </w:r>
      <w:r>
        <w:rPr>
          <w:rFonts w:hint="eastAsia" w:ascii="仿宋_GB2312" w:hAnsi="仿宋_GB2312" w:eastAsia="仿宋_GB2312" w:cs="仿宋_GB2312"/>
          <w:b w:val="0"/>
          <w:bCs w:val="0"/>
          <w:sz w:val="32"/>
          <w:szCs w:val="32"/>
          <w:highlight w:val="none"/>
          <w:lang w:eastAsia="zh-CN"/>
        </w:rPr>
        <w:t>遴选参与农户</w:t>
      </w:r>
      <w:r>
        <w:rPr>
          <w:rFonts w:hint="eastAsia" w:ascii="仿宋_GB2312" w:hAnsi="仿宋_GB2312" w:eastAsia="仿宋_GB2312" w:cs="仿宋_GB2312"/>
          <w:b w:val="0"/>
          <w:bCs w:val="0"/>
          <w:sz w:val="32"/>
          <w:szCs w:val="32"/>
          <w:highlight w:val="none"/>
        </w:rPr>
        <w:t>清册》，在属地村委会公示5天无异议后确定该清册的参与农户（含有关申报信息）</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向</w:t>
      </w:r>
      <w:r>
        <w:rPr>
          <w:rFonts w:hint="eastAsia" w:ascii="仿宋_GB2312" w:hAnsi="仿宋_GB2312" w:eastAsia="仿宋_GB2312" w:cs="仿宋_GB2312"/>
          <w:b w:val="0"/>
          <w:bCs w:val="0"/>
          <w:sz w:val="32"/>
          <w:szCs w:val="32"/>
          <w:highlight w:val="none"/>
          <w:lang w:eastAsia="zh-CN"/>
        </w:rPr>
        <w:t>镇（街）</w:t>
      </w:r>
      <w:r>
        <w:rPr>
          <w:rFonts w:hint="eastAsia" w:ascii="仿宋_GB2312" w:hAnsi="仿宋_GB2312" w:eastAsia="仿宋_GB2312" w:cs="仿宋_GB2312"/>
          <w:b w:val="0"/>
          <w:bCs w:val="0"/>
          <w:sz w:val="32"/>
          <w:szCs w:val="32"/>
          <w:highlight w:val="none"/>
        </w:rPr>
        <w:t>农业农村</w:t>
      </w:r>
      <w:r>
        <w:rPr>
          <w:rFonts w:hint="eastAsia" w:ascii="仿宋_GB2312" w:hAnsi="仿宋_GB2312" w:eastAsia="仿宋_GB2312" w:cs="仿宋_GB2312"/>
          <w:b w:val="0"/>
          <w:bCs w:val="0"/>
          <w:sz w:val="32"/>
          <w:szCs w:val="32"/>
          <w:highlight w:val="none"/>
          <w:lang w:eastAsia="zh-CN"/>
        </w:rPr>
        <w:t>办公室</w:t>
      </w:r>
      <w:r>
        <w:rPr>
          <w:rFonts w:hint="eastAsia" w:ascii="仿宋_GB2312" w:hAnsi="仿宋_GB2312" w:eastAsia="仿宋_GB2312" w:cs="仿宋_GB2312"/>
          <w:b w:val="0"/>
          <w:bCs w:val="0"/>
          <w:sz w:val="32"/>
          <w:szCs w:val="32"/>
          <w:highlight w:val="none"/>
        </w:rPr>
        <w:t>申报（含附件1、3以及公示照片）。有按《新会区粮食生产安全实施方案》要求，今年挖潜新增晚造水稻种植面积的优先</w:t>
      </w:r>
      <w:r>
        <w:rPr>
          <w:rFonts w:hint="eastAsia" w:ascii="仿宋_GB2312" w:hAnsi="仿宋_GB2312" w:eastAsia="仿宋_GB2312" w:cs="仿宋_GB2312"/>
          <w:b w:val="0"/>
          <w:bCs w:val="0"/>
          <w:sz w:val="32"/>
          <w:szCs w:val="32"/>
          <w:highlight w:val="none"/>
          <w:lang w:eastAsia="zh-CN"/>
        </w:rPr>
        <w:t>遴选。</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rPr>
        <w:t>（二）区农业农村局依据镇（街）农办的申报情况，以及本项目采购中标的水稻病虫害统防统治面积结果，按申报整村推进水稻病虫害统防统治面积，由大到小确定全区的实施区域，有按《新会区粮食生产安全实施方案》要求，今年挖潜新增晚造水稻种植面积的优先安排。</w:t>
      </w:r>
      <w:r>
        <w:rPr>
          <w:rFonts w:hint="eastAsia" w:ascii="仿宋_GB2312" w:hAnsi="仿宋_GB2312" w:eastAsia="仿宋_GB2312" w:cs="仿宋_GB2312"/>
          <w:b w:val="0"/>
          <w:bCs w:val="0"/>
          <w:sz w:val="32"/>
          <w:szCs w:val="32"/>
          <w:highlight w:val="none"/>
        </w:rPr>
        <w:t>并在新会区政府信息公开平台公开公示</w:t>
      </w:r>
      <w:r>
        <w:rPr>
          <w:rFonts w:hint="eastAsia" w:ascii="仿宋_GB2312" w:hAnsi="仿宋_GB2312" w:eastAsia="仿宋_GB2312" w:cs="仿宋_GB2312"/>
          <w:b w:val="0"/>
          <w:bCs w:val="0"/>
          <w:sz w:val="32"/>
          <w:szCs w:val="32"/>
          <w:highlight w:val="none"/>
          <w:lang w:val="en-US" w:eastAsia="zh-CN"/>
        </w:rPr>
        <w:t>3</w:t>
      </w:r>
      <w:r>
        <w:rPr>
          <w:rFonts w:hint="eastAsia" w:ascii="仿宋_GB2312" w:hAnsi="仿宋_GB2312" w:eastAsia="仿宋_GB2312" w:cs="仿宋_GB2312"/>
          <w:b w:val="0"/>
          <w:bCs w:val="0"/>
          <w:sz w:val="32"/>
          <w:szCs w:val="32"/>
          <w:highlight w:val="none"/>
        </w:rPr>
        <w:t>天确定结果。</w:t>
      </w:r>
    </w:p>
    <w:p>
      <w:pPr>
        <w:keepNext w:val="0"/>
        <w:keepLines w:val="0"/>
        <w:pageBreakBefore w:val="0"/>
        <w:kinsoku/>
        <w:wordWrap/>
        <w:overflowPunct/>
        <w:topLinePunct w:val="0"/>
        <w:autoSpaceDE/>
        <w:autoSpaceDN/>
        <w:bidi w:val="0"/>
        <w:adjustRightInd/>
        <w:snapToGrid/>
        <w:spacing w:line="560" w:lineRule="exact"/>
        <w:ind w:firstLine="627" w:firstLineChars="196"/>
        <w:jc w:val="left"/>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rPr>
        <w:t>（三）为了确保三个项目中标供应商更好地</w:t>
      </w:r>
      <w:r>
        <w:rPr>
          <w:rFonts w:hint="eastAsia" w:ascii="仿宋_GB2312" w:hAnsi="仿宋_GB2312" w:eastAsia="仿宋_GB2312" w:cs="仿宋_GB2312"/>
          <w:b w:val="0"/>
          <w:bCs w:val="0"/>
          <w:sz w:val="32"/>
          <w:szCs w:val="32"/>
          <w:lang w:eastAsia="zh-CN"/>
        </w:rPr>
        <w:t>开展和</w:t>
      </w:r>
      <w:r>
        <w:rPr>
          <w:rFonts w:hint="eastAsia" w:ascii="仿宋_GB2312" w:hAnsi="仿宋_GB2312" w:eastAsia="仿宋_GB2312" w:cs="仿宋_GB2312"/>
          <w:b w:val="0"/>
          <w:bCs w:val="0"/>
          <w:sz w:val="32"/>
          <w:szCs w:val="32"/>
        </w:rPr>
        <w:t>完成统防统治的社会化服务，我局按镇（街）将全区实施区域划分为本项目的三个社会化服务区域，供中标供应商自行选择，如有重复的，由区农业农村局通过抽签的方式进行确定。其中：社会化服务区域1包括：会城街道、大泽镇、司前镇；社会化服务区域2包括：罗坑镇、双水镇、崖门镇；社会化服务区域3包括：三江镇、古井镇、沙堆镇、睦洲镇和大鳌镇</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eastAsia="zh-CN"/>
        </w:rPr>
        <w:t>三个中标供应商也可共同商定同时推进服务的实施区域。</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六、实施主体、方式</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highlight w:val="none"/>
          <w:lang w:eastAsia="zh-CN"/>
        </w:rPr>
        <w:t>（一）实施主体：</w:t>
      </w:r>
      <w:r>
        <w:rPr>
          <w:rFonts w:hint="eastAsia" w:ascii="仿宋_GB2312" w:hAnsi="仿宋_GB2312" w:eastAsia="仿宋_GB2312" w:cs="仿宋_GB2312"/>
          <w:sz w:val="32"/>
          <w:szCs w:val="32"/>
        </w:rPr>
        <w:t>各镇（街）农办。</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（二）实施方式：</w:t>
      </w:r>
    </w:p>
    <w:p>
      <w:pPr>
        <w:keepNext w:val="0"/>
        <w:keepLines w:val="0"/>
        <w:pageBreakBefore w:val="0"/>
        <w:kinsoku/>
        <w:wordWrap/>
        <w:overflowPunct/>
        <w:topLinePunct w:val="0"/>
        <w:autoSpaceDE/>
        <w:autoSpaceDN/>
        <w:bidi w:val="0"/>
        <w:adjustRightInd/>
        <w:snapToGrid/>
        <w:spacing w:line="560" w:lineRule="exact"/>
        <w:ind w:firstLine="627" w:firstLineChars="196"/>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明确参与农户。参与农户是按程序确定《2022年新会区水稻病虫害统防统治项目</w:t>
      </w:r>
      <w:r>
        <w:rPr>
          <w:rFonts w:hint="eastAsia" w:ascii="仿宋_GB2312" w:hAnsi="仿宋_GB2312" w:eastAsia="仿宋_GB2312" w:cs="仿宋_GB2312"/>
          <w:sz w:val="32"/>
          <w:szCs w:val="32"/>
          <w:lang w:eastAsia="zh-CN"/>
        </w:rPr>
        <w:t>遴选参与农户</w:t>
      </w:r>
      <w:r>
        <w:rPr>
          <w:rFonts w:hint="eastAsia" w:ascii="仿宋_GB2312" w:hAnsi="仿宋_GB2312" w:eastAsia="仿宋_GB2312" w:cs="仿宋_GB2312"/>
          <w:sz w:val="32"/>
          <w:szCs w:val="32"/>
        </w:rPr>
        <w:t>清册》的参与农户。</w:t>
      </w:r>
    </w:p>
    <w:p>
      <w:pPr>
        <w:keepNext w:val="0"/>
        <w:keepLines w:val="0"/>
        <w:pageBreakBefore w:val="0"/>
        <w:kinsoku/>
        <w:wordWrap/>
        <w:overflowPunct/>
        <w:topLinePunct w:val="0"/>
        <w:autoSpaceDE/>
        <w:autoSpaceDN/>
        <w:bidi w:val="0"/>
        <w:adjustRightInd/>
        <w:snapToGrid/>
        <w:spacing w:line="560" w:lineRule="exact"/>
        <w:ind w:firstLine="627" w:firstLineChars="196"/>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社会化服务推进。由区农业农村局按照《农作物病虫害专业化防治服务管理办法》、《关于印发2022年省级水稻病虫害统防统治项目实施方案的通知》（粤农农办〔2022〕134号）文</w:t>
      </w:r>
      <w:r>
        <w:rPr>
          <w:rFonts w:hint="eastAsia" w:ascii="仿宋_GB2312" w:hAnsi="仿宋_GB2312" w:eastAsia="仿宋_GB2312" w:cs="仿宋_GB2312"/>
          <w:sz w:val="32"/>
          <w:szCs w:val="32"/>
          <w:highlight w:val="none"/>
        </w:rPr>
        <w:t>件和财政部《关于开展政府采购意向公开工作的通知》（财库〔2020〕10号）</w:t>
      </w:r>
      <w:r>
        <w:rPr>
          <w:rFonts w:hint="eastAsia" w:ascii="仿宋_GB2312" w:hAnsi="仿宋_GB2312" w:eastAsia="仿宋_GB2312" w:cs="仿宋_GB2312"/>
          <w:sz w:val="32"/>
          <w:szCs w:val="32"/>
          <w:highlight w:val="none"/>
          <w:lang w:eastAsia="zh-CN"/>
        </w:rPr>
        <w:t>等</w:t>
      </w:r>
      <w:r>
        <w:rPr>
          <w:rFonts w:hint="eastAsia" w:ascii="仿宋_GB2312" w:hAnsi="仿宋_GB2312" w:eastAsia="仿宋_GB2312" w:cs="仿宋_GB2312"/>
          <w:sz w:val="32"/>
          <w:szCs w:val="32"/>
          <w:highlight w:val="none"/>
        </w:rPr>
        <w:t>政府采购管理规定，确定三个中标供应商，按《本实施方案》和《合同》要求</w:t>
      </w:r>
      <w:r>
        <w:rPr>
          <w:rFonts w:hint="eastAsia" w:ascii="仿宋_GB2312" w:hAnsi="仿宋_GB2312" w:eastAsia="仿宋_GB2312" w:cs="仿宋_GB2312"/>
          <w:sz w:val="32"/>
          <w:szCs w:val="32"/>
        </w:rPr>
        <w:t>，开展和完成统防统治的社会化服务。主要包括：</w:t>
      </w:r>
    </w:p>
    <w:p>
      <w:pPr>
        <w:keepNext w:val="0"/>
        <w:keepLines w:val="0"/>
        <w:pageBreakBefore w:val="0"/>
        <w:kinsoku/>
        <w:wordWrap/>
        <w:overflowPunct/>
        <w:topLinePunct w:val="0"/>
        <w:autoSpaceDE/>
        <w:autoSpaceDN/>
        <w:bidi w:val="0"/>
        <w:adjustRightInd/>
        <w:snapToGrid/>
        <w:spacing w:line="560" w:lineRule="exact"/>
        <w:ind w:firstLine="627" w:firstLineChars="196"/>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（1）在晚造水稻病虫害防控时期，对《2022年新会区水稻病虫害统防统治</w:t>
      </w:r>
      <w:r>
        <w:rPr>
          <w:rFonts w:hint="eastAsia" w:ascii="仿宋_GB2312" w:hAnsi="仿宋_GB2312" w:eastAsia="仿宋_GB2312" w:cs="仿宋_GB2312"/>
          <w:sz w:val="32"/>
          <w:szCs w:val="32"/>
          <w:highlight w:val="none"/>
        </w:rPr>
        <w:t>项目</w:t>
      </w:r>
      <w:r>
        <w:rPr>
          <w:rFonts w:hint="eastAsia" w:ascii="仿宋_GB2312" w:hAnsi="仿宋_GB2312" w:eastAsia="仿宋_GB2312" w:cs="仿宋_GB2312"/>
          <w:sz w:val="32"/>
          <w:szCs w:val="32"/>
          <w:highlight w:val="none"/>
          <w:lang w:eastAsia="zh-CN"/>
        </w:rPr>
        <w:t>遴选参与农户</w:t>
      </w:r>
      <w:r>
        <w:rPr>
          <w:rFonts w:hint="eastAsia" w:ascii="仿宋_GB2312" w:hAnsi="仿宋_GB2312" w:eastAsia="仿宋_GB2312" w:cs="仿宋_GB2312"/>
          <w:sz w:val="32"/>
          <w:szCs w:val="32"/>
          <w:highlight w:val="none"/>
        </w:rPr>
        <w:t>清册》的不少于6万亩水稻病虫害统防统治面积开展1次水稻统防统治服务（含农药、叶面肥），与村委会</w:t>
      </w:r>
      <w:r>
        <w:rPr>
          <w:rFonts w:hint="eastAsia" w:ascii="仿宋_GB2312" w:hAnsi="仿宋_GB2312" w:eastAsia="仿宋_GB2312" w:cs="仿宋_GB2312"/>
          <w:sz w:val="32"/>
          <w:szCs w:val="32"/>
          <w:highlight w:val="none"/>
          <w:lang w:eastAsia="zh-CN"/>
        </w:rPr>
        <w:t>和各镇（街）农业农村办公室</w:t>
      </w:r>
      <w:r>
        <w:rPr>
          <w:rFonts w:hint="eastAsia" w:ascii="仿宋_GB2312" w:hAnsi="仿宋_GB2312" w:eastAsia="仿宋_GB2312" w:cs="仿宋_GB2312"/>
          <w:sz w:val="32"/>
          <w:szCs w:val="32"/>
          <w:highlight w:val="none"/>
        </w:rPr>
        <w:t>做好统防统治</w:t>
      </w:r>
      <w:r>
        <w:rPr>
          <w:rFonts w:hint="eastAsia" w:ascii="仿宋_GB2312" w:hAnsi="仿宋_GB2312" w:eastAsia="仿宋_GB2312" w:cs="仿宋_GB2312"/>
          <w:sz w:val="32"/>
          <w:szCs w:val="32"/>
          <w:highlight w:val="none"/>
          <w:lang w:eastAsia="zh-CN"/>
        </w:rPr>
        <w:t>作业</w:t>
      </w:r>
      <w:r>
        <w:rPr>
          <w:rFonts w:hint="eastAsia" w:ascii="仿宋_GB2312" w:hAnsi="仿宋_GB2312" w:eastAsia="仿宋_GB2312" w:cs="仿宋_GB2312"/>
          <w:sz w:val="32"/>
          <w:szCs w:val="32"/>
          <w:highlight w:val="none"/>
        </w:rPr>
        <w:t>面积的签章确认。如出现农户拒绝防治作业或因不符合防治作业情形之一的，由中标供应商和实施主体，按参与农户面积由大到小顺延进行社会化服务，全面完成中标统防统治</w:t>
      </w:r>
      <w:r>
        <w:rPr>
          <w:rFonts w:hint="eastAsia" w:ascii="仿宋_GB2312" w:hAnsi="仿宋_GB2312" w:eastAsia="仿宋_GB2312" w:cs="仿宋_GB2312"/>
          <w:sz w:val="32"/>
          <w:szCs w:val="32"/>
          <w:highlight w:val="none"/>
          <w:lang w:eastAsia="zh-CN"/>
        </w:rPr>
        <w:t>作业</w:t>
      </w:r>
      <w:r>
        <w:rPr>
          <w:rFonts w:hint="eastAsia" w:ascii="仿宋_GB2312" w:hAnsi="仿宋_GB2312" w:eastAsia="仿宋_GB2312" w:cs="仿宋_GB2312"/>
          <w:sz w:val="32"/>
          <w:szCs w:val="32"/>
          <w:highlight w:val="none"/>
        </w:rPr>
        <w:t>面积。</w:t>
      </w:r>
    </w:p>
    <w:p>
      <w:pPr>
        <w:keepNext w:val="0"/>
        <w:keepLines w:val="0"/>
        <w:pageBreakBefore w:val="0"/>
        <w:kinsoku/>
        <w:wordWrap/>
        <w:overflowPunct/>
        <w:topLinePunct w:val="0"/>
        <w:autoSpaceDE/>
        <w:autoSpaceDN/>
        <w:bidi w:val="0"/>
        <w:adjustRightInd/>
        <w:snapToGrid/>
        <w:spacing w:line="560" w:lineRule="exact"/>
        <w:ind w:firstLine="627" w:firstLineChars="196"/>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）强化技术指导服务，每个中标供应商各举办不少于2期、培训人数不少于30人次（含）的技术培训班或现场观摩会；</w:t>
      </w:r>
    </w:p>
    <w:p>
      <w:pPr>
        <w:keepNext w:val="0"/>
        <w:keepLines w:val="0"/>
        <w:pageBreakBefore w:val="0"/>
        <w:kinsoku/>
        <w:wordWrap/>
        <w:overflowPunct/>
        <w:topLinePunct w:val="0"/>
        <w:autoSpaceDE/>
        <w:autoSpaceDN/>
        <w:bidi w:val="0"/>
        <w:adjustRightInd/>
        <w:snapToGrid/>
        <w:spacing w:line="560" w:lineRule="exact"/>
        <w:ind w:firstLine="627" w:firstLineChars="196"/>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）同步推进农药减量增效和实施包装废弃物回收，提升资源化利用率；</w:t>
      </w:r>
    </w:p>
    <w:p>
      <w:pPr>
        <w:keepNext w:val="0"/>
        <w:keepLines w:val="0"/>
        <w:pageBreakBefore w:val="0"/>
        <w:kinsoku/>
        <w:wordWrap/>
        <w:overflowPunct/>
        <w:topLinePunct w:val="0"/>
        <w:autoSpaceDE/>
        <w:autoSpaceDN/>
        <w:bidi w:val="0"/>
        <w:adjustRightInd/>
        <w:snapToGrid/>
        <w:spacing w:line="560" w:lineRule="exact"/>
        <w:ind w:firstLine="627" w:firstLineChars="196"/>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）每个中标供应商各选择一个实施村各标竖1个示范牌；</w:t>
      </w:r>
    </w:p>
    <w:p>
      <w:pPr>
        <w:keepNext w:val="0"/>
        <w:keepLines w:val="0"/>
        <w:pageBreakBefore w:val="0"/>
        <w:kinsoku/>
        <w:wordWrap/>
        <w:overflowPunct/>
        <w:topLinePunct w:val="0"/>
        <w:autoSpaceDE/>
        <w:autoSpaceDN/>
        <w:bidi w:val="0"/>
        <w:adjustRightInd/>
        <w:snapToGrid/>
        <w:spacing w:line="560" w:lineRule="exact"/>
        <w:ind w:firstLine="627" w:firstLineChars="196"/>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）收集项目资料（含照片），建立项目台账；</w:t>
      </w:r>
    </w:p>
    <w:p>
      <w:pPr>
        <w:keepNext w:val="0"/>
        <w:keepLines w:val="0"/>
        <w:pageBreakBefore w:val="0"/>
        <w:kinsoku/>
        <w:wordWrap/>
        <w:overflowPunct/>
        <w:topLinePunct w:val="0"/>
        <w:autoSpaceDE/>
        <w:autoSpaceDN/>
        <w:bidi w:val="0"/>
        <w:adjustRightInd/>
        <w:snapToGrid/>
        <w:spacing w:line="560" w:lineRule="exact"/>
        <w:ind w:firstLine="627" w:firstLineChars="196"/>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）开展满意度调查和完成总结审计验收等。</w:t>
      </w:r>
    </w:p>
    <w:p>
      <w:pPr>
        <w:keepNext w:val="0"/>
        <w:keepLines w:val="0"/>
        <w:pageBreakBefore w:val="0"/>
        <w:kinsoku/>
        <w:wordWrap/>
        <w:overflowPunct/>
        <w:topLinePunct w:val="0"/>
        <w:autoSpaceDE/>
        <w:autoSpaceDN/>
        <w:bidi w:val="0"/>
        <w:adjustRightInd/>
        <w:snapToGrid/>
        <w:spacing w:line="560" w:lineRule="exact"/>
        <w:ind w:firstLine="627" w:firstLineChars="196"/>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签订实施协议。实施主体与实施村（含参与农户）签订统防统治协议（详见附件3），积极配合中标供应商推进项目建设。</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七、补助方式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highlight w:val="none"/>
          <w:lang w:eastAsia="zh-CN"/>
        </w:rPr>
        <w:t>（一）补助资金规模。</w:t>
      </w:r>
      <w:r>
        <w:rPr>
          <w:rFonts w:hint="eastAsia" w:ascii="仿宋_GB2312" w:hAnsi="仿宋_GB2312" w:eastAsia="仿宋_GB2312" w:cs="仿宋_GB2312"/>
          <w:sz w:val="32"/>
          <w:szCs w:val="32"/>
        </w:rPr>
        <w:t>本项目补助资金为2022年省级水稻病虫害统防统治专项资金，共300万元。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highlight w:val="none"/>
          <w:lang w:eastAsia="zh-CN"/>
        </w:rPr>
        <w:t>（二）补助方式。</w:t>
      </w:r>
      <w:r>
        <w:rPr>
          <w:rFonts w:hint="eastAsia" w:ascii="仿宋_GB2312" w:hAnsi="仿宋_GB2312" w:eastAsia="仿宋_GB2312" w:cs="仿宋_GB2312"/>
          <w:sz w:val="32"/>
          <w:szCs w:val="32"/>
        </w:rPr>
        <w:t>根据《中央财政农业生产救灾及特大防汛抗旱补助资金管理办法》（财农〔2017〕91号）规定，以及本项目的《社会化服务合同》条款和进度，由区农业农村局报请区财政局将补助资金补助给中标供应商，开展和完成有关社会化服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highlight w:val="none"/>
          <w:lang w:eastAsia="zh-CN"/>
        </w:rPr>
        <w:t>（三）补助标准。</w:t>
      </w:r>
      <w:r>
        <w:rPr>
          <w:rFonts w:hint="eastAsia" w:ascii="仿宋_GB2312" w:hAnsi="仿宋_GB2312" w:eastAsia="仿宋_GB2312" w:cs="仿宋_GB2312"/>
          <w:sz w:val="32"/>
          <w:szCs w:val="32"/>
        </w:rPr>
        <w:t>每造每亩补助资金不超过40元。同一地块只能选择1种方式、补助1次。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（四）补助计算公式。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1.折算</w:t>
      </w:r>
      <w:r>
        <w:rPr>
          <w:rFonts w:hint="eastAsia" w:ascii="仿宋_GB2312" w:hAnsi="仿宋_GB2312" w:eastAsia="仿宋_GB2312" w:cs="仿宋_GB2312"/>
          <w:sz w:val="32"/>
          <w:szCs w:val="32"/>
          <w:highlight w:val="none"/>
        </w:rPr>
        <w:t>补助标准不超过40元</w:t>
      </w:r>
      <w:r>
        <w:rPr>
          <w:rFonts w:hint="eastAsia" w:ascii="仿宋_GB2312" w:hAnsi="仿宋_GB2312" w:eastAsia="仿宋_GB2312" w:cs="仿宋_GB2312"/>
          <w:sz w:val="32"/>
          <w:szCs w:val="32"/>
          <w:highlight w:val="none"/>
          <w:lang w:eastAsia="zh-CN"/>
        </w:rPr>
        <w:t>的计算公式：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每个中标供应商的补助资金（元）=300万元</w:t>
      </w:r>
      <w:r>
        <w:rPr>
          <w:rFonts w:hint="default" w:ascii="Arial" w:hAnsi="Arial" w:eastAsia="仿宋_GB2312" w:cs="Arial"/>
          <w:sz w:val="32"/>
          <w:szCs w:val="32"/>
          <w:highlight w:val="none"/>
          <w:lang w:eastAsia="zh-CN"/>
        </w:rPr>
        <w:t>÷</w:t>
      </w:r>
      <w:r>
        <w:rPr>
          <w:rFonts w:hint="eastAsia" w:ascii="Arial" w:hAnsi="Arial" w:eastAsia="仿宋_GB2312" w:cs="Arial"/>
          <w:sz w:val="32"/>
          <w:szCs w:val="32"/>
          <w:highlight w:val="none"/>
          <w:lang w:eastAsia="zh-CN"/>
        </w:rPr>
        <w:t>本项目合计的</w:t>
      </w:r>
      <w:r>
        <w:rPr>
          <w:rFonts w:hint="eastAsia" w:ascii="仿宋_GB2312" w:hAnsi="仿宋_GB2312" w:eastAsia="仿宋_GB2312" w:cs="仿宋_GB2312"/>
          <w:sz w:val="32"/>
          <w:szCs w:val="32"/>
          <w:highlight w:val="none"/>
        </w:rPr>
        <w:t>统防统治</w:t>
      </w:r>
      <w:r>
        <w:rPr>
          <w:rFonts w:hint="eastAsia" w:ascii="仿宋_GB2312" w:hAnsi="仿宋_GB2312" w:eastAsia="仿宋_GB2312" w:cs="仿宋_GB2312"/>
          <w:sz w:val="32"/>
          <w:szCs w:val="32"/>
          <w:highlight w:val="none"/>
          <w:lang w:eastAsia="zh-CN"/>
        </w:rPr>
        <w:t>作业</w:t>
      </w:r>
      <w:r>
        <w:rPr>
          <w:rFonts w:hint="eastAsia" w:ascii="仿宋_GB2312" w:hAnsi="仿宋_GB2312" w:eastAsia="仿宋_GB2312" w:cs="仿宋_GB2312"/>
          <w:sz w:val="32"/>
          <w:szCs w:val="32"/>
          <w:highlight w:val="none"/>
        </w:rPr>
        <w:t>面积</w:t>
      </w:r>
      <w:r>
        <w:rPr>
          <w:rFonts w:hint="eastAsia" w:ascii="仿宋_GB2312" w:hAnsi="仿宋_GB2312" w:eastAsia="仿宋_GB2312" w:cs="仿宋_GB2312"/>
          <w:sz w:val="32"/>
          <w:szCs w:val="32"/>
          <w:highlight w:val="none"/>
          <w:lang w:eastAsia="zh-CN"/>
        </w:rPr>
        <w:t>（亩）</w:t>
      </w:r>
      <w:r>
        <w:rPr>
          <w:rFonts w:hint="default" w:ascii="Arial" w:hAnsi="Arial" w:eastAsia="仿宋_GB2312" w:cs="Arial"/>
          <w:sz w:val="32"/>
          <w:szCs w:val="32"/>
          <w:highlight w:val="none"/>
          <w:lang w:eastAsia="zh-CN"/>
        </w:rPr>
        <w:t>×</w:t>
      </w:r>
      <w:r>
        <w:rPr>
          <w:rFonts w:hint="eastAsia" w:ascii="仿宋_GB2312" w:hAnsi="仿宋_GB2312" w:eastAsia="仿宋_GB2312" w:cs="仿宋_GB2312"/>
          <w:sz w:val="32"/>
          <w:szCs w:val="32"/>
          <w:highlight w:val="none"/>
          <w:lang w:val="en-US" w:eastAsia="zh-CN"/>
        </w:rPr>
        <w:t>该中标供应商实际</w:t>
      </w:r>
      <w:r>
        <w:rPr>
          <w:rFonts w:hint="eastAsia" w:ascii="仿宋_GB2312" w:hAnsi="仿宋_GB2312" w:eastAsia="仿宋_GB2312" w:cs="仿宋_GB2312"/>
          <w:sz w:val="32"/>
          <w:szCs w:val="32"/>
          <w:highlight w:val="none"/>
        </w:rPr>
        <w:t>统防统治</w:t>
      </w:r>
      <w:r>
        <w:rPr>
          <w:rFonts w:hint="eastAsia" w:ascii="仿宋_GB2312" w:hAnsi="仿宋_GB2312" w:eastAsia="仿宋_GB2312" w:cs="仿宋_GB2312"/>
          <w:sz w:val="32"/>
          <w:szCs w:val="32"/>
          <w:highlight w:val="none"/>
          <w:lang w:eastAsia="zh-CN"/>
        </w:rPr>
        <w:t>作业</w:t>
      </w:r>
      <w:r>
        <w:rPr>
          <w:rFonts w:hint="eastAsia" w:ascii="仿宋_GB2312" w:hAnsi="仿宋_GB2312" w:eastAsia="仿宋_GB2312" w:cs="仿宋_GB2312"/>
          <w:sz w:val="32"/>
          <w:szCs w:val="32"/>
          <w:highlight w:val="none"/>
        </w:rPr>
        <w:t>面积</w:t>
      </w:r>
      <w:r>
        <w:rPr>
          <w:rFonts w:hint="eastAsia" w:ascii="仿宋_GB2312" w:hAnsi="仿宋_GB2312" w:eastAsia="仿宋_GB2312" w:cs="仿宋_GB2312"/>
          <w:sz w:val="32"/>
          <w:szCs w:val="32"/>
          <w:highlight w:val="none"/>
          <w:lang w:eastAsia="zh-CN"/>
        </w:rPr>
        <w:t>（亩）；</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2.折算</w:t>
      </w:r>
      <w:r>
        <w:rPr>
          <w:rFonts w:hint="eastAsia" w:ascii="仿宋_GB2312" w:hAnsi="仿宋_GB2312" w:eastAsia="仿宋_GB2312" w:cs="仿宋_GB2312"/>
          <w:sz w:val="32"/>
          <w:szCs w:val="32"/>
          <w:highlight w:val="none"/>
        </w:rPr>
        <w:t>补助标准超过40元</w:t>
      </w:r>
      <w:r>
        <w:rPr>
          <w:rFonts w:hint="eastAsia" w:ascii="仿宋_GB2312" w:hAnsi="仿宋_GB2312" w:eastAsia="仿宋_GB2312" w:cs="仿宋_GB2312"/>
          <w:sz w:val="32"/>
          <w:szCs w:val="32"/>
          <w:highlight w:val="none"/>
          <w:lang w:eastAsia="zh-CN"/>
        </w:rPr>
        <w:t>的计算公式：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每个中标供应商的补助资金（元）=该中标供应商实际</w:t>
      </w:r>
      <w:r>
        <w:rPr>
          <w:rFonts w:hint="eastAsia" w:ascii="仿宋_GB2312" w:hAnsi="仿宋_GB2312" w:eastAsia="仿宋_GB2312" w:cs="仿宋_GB2312"/>
          <w:sz w:val="32"/>
          <w:szCs w:val="32"/>
          <w:highlight w:val="none"/>
        </w:rPr>
        <w:t>统防统治</w:t>
      </w:r>
      <w:r>
        <w:rPr>
          <w:rFonts w:hint="eastAsia" w:ascii="仿宋_GB2312" w:hAnsi="仿宋_GB2312" w:eastAsia="仿宋_GB2312" w:cs="仿宋_GB2312"/>
          <w:sz w:val="32"/>
          <w:szCs w:val="32"/>
          <w:highlight w:val="none"/>
          <w:lang w:eastAsia="zh-CN"/>
        </w:rPr>
        <w:t>作业</w:t>
      </w:r>
      <w:r>
        <w:rPr>
          <w:rFonts w:hint="eastAsia" w:ascii="仿宋_GB2312" w:hAnsi="仿宋_GB2312" w:eastAsia="仿宋_GB2312" w:cs="仿宋_GB2312"/>
          <w:sz w:val="32"/>
          <w:szCs w:val="32"/>
          <w:highlight w:val="none"/>
        </w:rPr>
        <w:t>面积</w:t>
      </w:r>
      <w:r>
        <w:rPr>
          <w:rFonts w:hint="eastAsia" w:ascii="仿宋_GB2312" w:hAnsi="仿宋_GB2312" w:eastAsia="仿宋_GB2312" w:cs="仿宋_GB2312"/>
          <w:sz w:val="32"/>
          <w:szCs w:val="32"/>
          <w:highlight w:val="none"/>
          <w:lang w:eastAsia="zh-CN"/>
        </w:rPr>
        <w:t>（亩）</w:t>
      </w:r>
      <w:r>
        <w:rPr>
          <w:rFonts w:hint="default" w:ascii="Arial" w:hAnsi="Arial" w:eastAsia="仿宋_GB2312" w:cs="Arial"/>
          <w:sz w:val="32"/>
          <w:szCs w:val="32"/>
          <w:highlight w:val="none"/>
          <w:lang w:eastAsia="zh-CN"/>
        </w:rPr>
        <w:t>×</w:t>
      </w:r>
      <w:r>
        <w:rPr>
          <w:rFonts w:hint="eastAsia" w:ascii="仿宋_GB2312" w:hAnsi="仿宋_GB2312" w:eastAsia="仿宋_GB2312" w:cs="仿宋_GB2312"/>
          <w:sz w:val="32"/>
          <w:szCs w:val="32"/>
          <w:highlight w:val="none"/>
        </w:rPr>
        <w:t>40</w:t>
      </w:r>
      <w:r>
        <w:rPr>
          <w:rFonts w:hint="eastAsia" w:ascii="Arial" w:hAnsi="Arial" w:eastAsia="仿宋_GB2312" w:cs="Arial"/>
          <w:sz w:val="32"/>
          <w:szCs w:val="32"/>
          <w:highlight w:val="none"/>
          <w:lang w:val="en-US" w:eastAsia="zh-CN"/>
        </w:rPr>
        <w:t>元/亩</w:t>
      </w:r>
      <w:r>
        <w:rPr>
          <w:rFonts w:hint="eastAsia" w:ascii="仿宋_GB2312" w:hAnsi="仿宋_GB2312" w:eastAsia="仿宋_GB2312" w:cs="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八、防治药剂</w:t>
      </w:r>
    </w:p>
    <w:p>
      <w:pPr>
        <w:keepNext w:val="0"/>
        <w:keepLines w:val="0"/>
        <w:pageBreakBefore w:val="0"/>
        <w:kinsoku/>
        <w:wordWrap/>
        <w:overflowPunct/>
        <w:topLinePunct w:val="0"/>
        <w:autoSpaceDE/>
        <w:autoSpaceDN/>
        <w:bidi w:val="0"/>
        <w:adjustRightInd/>
        <w:snapToGrid/>
        <w:spacing w:line="560" w:lineRule="exact"/>
        <w:ind w:firstLine="627" w:firstLineChars="196"/>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围绕</w:t>
      </w:r>
      <w:r>
        <w:rPr>
          <w:rFonts w:hint="eastAsia" w:ascii="仿宋_GB2312" w:hAnsi="仿宋_GB2312" w:eastAsia="仿宋_GB2312" w:cs="仿宋_GB2312"/>
          <w:sz w:val="32"/>
          <w:szCs w:val="32"/>
          <w:highlight w:val="none"/>
        </w:rPr>
        <w:t>“农药减量增效”的原则，水稻病虫害防治药剂由中标供应商</w:t>
      </w:r>
      <w:r>
        <w:rPr>
          <w:rFonts w:hint="eastAsia" w:ascii="仿宋_GB2312" w:hAnsi="仿宋_GB2312" w:eastAsia="仿宋_GB2312" w:cs="仿宋_GB2312"/>
          <w:sz w:val="32"/>
          <w:szCs w:val="32"/>
          <w:highlight w:val="none"/>
          <w:lang w:eastAsia="zh-CN"/>
        </w:rPr>
        <w:t>按招标文件的方剂或</w:t>
      </w:r>
      <w:r>
        <w:rPr>
          <w:rFonts w:hint="eastAsia" w:ascii="仿宋_GB2312" w:hAnsi="仿宋_GB2312" w:eastAsia="仿宋_GB2312" w:cs="仿宋_GB2312"/>
          <w:sz w:val="32"/>
          <w:szCs w:val="32"/>
          <w:highlight w:val="none"/>
        </w:rPr>
        <w:t>与实施主体共同商定，费用</w:t>
      </w:r>
      <w:r>
        <w:rPr>
          <w:rFonts w:hint="eastAsia" w:ascii="仿宋_GB2312" w:hAnsi="仿宋_GB2312" w:eastAsia="仿宋_GB2312" w:cs="仿宋_GB2312"/>
          <w:sz w:val="32"/>
          <w:szCs w:val="32"/>
        </w:rPr>
        <w:t>由中标供应商承担。</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九、</w:t>
      </w:r>
      <w:r>
        <w:rPr>
          <w:rFonts w:hint="eastAsia" w:ascii="黑体" w:hAnsi="黑体" w:eastAsia="黑体" w:cs="黑体"/>
          <w:b w:val="0"/>
          <w:bCs w:val="0"/>
          <w:kern w:val="0"/>
          <w:sz w:val="32"/>
          <w:szCs w:val="32"/>
          <w:lang w:eastAsia="zh-CN"/>
        </w:rPr>
        <w:t>其他事宜</w:t>
      </w:r>
    </w:p>
    <w:p>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（一）请各镇（街）农办于9月</w:t>
      </w:r>
      <w:r>
        <w:rPr>
          <w:rFonts w:hint="eastAsia" w:ascii="仿宋_GB2312" w:hAnsi="仿宋_GB2312" w:eastAsia="仿宋_GB2312" w:cs="仿宋_GB2312"/>
          <w:sz w:val="32"/>
          <w:szCs w:val="32"/>
          <w:highlight w:val="none"/>
          <w:lang w:val="en-US" w:eastAsia="zh-CN"/>
        </w:rPr>
        <w:t>28</w:t>
      </w:r>
      <w:r>
        <w:rPr>
          <w:rFonts w:hint="eastAsia" w:ascii="仿宋_GB2312" w:hAnsi="仿宋_GB2312" w:eastAsia="仿宋_GB2312" w:cs="仿宋_GB2312"/>
          <w:sz w:val="32"/>
          <w:szCs w:val="32"/>
        </w:rPr>
        <w:t>日前，通过</w:t>
      </w:r>
      <w:r>
        <w:rPr>
          <w:rFonts w:hint="eastAsia" w:ascii="仿宋_GB2312" w:hAnsi="仿宋_GB2312" w:eastAsia="仿宋_GB2312" w:cs="仿宋_GB2312"/>
          <w:sz w:val="32"/>
          <w:szCs w:val="32"/>
          <w:lang w:val="en-US" w:eastAsia="zh-CN"/>
        </w:rPr>
        <w:t>新会区系统办公系</w:t>
      </w:r>
      <w:r>
        <w:rPr>
          <w:rFonts w:hint="eastAsia" w:ascii="仿宋_GB2312" w:hAnsi="仿宋_GB2312" w:eastAsia="仿宋_GB2312" w:cs="仿宋_GB2312"/>
          <w:sz w:val="32"/>
          <w:szCs w:val="32"/>
          <w:highlight w:val="none"/>
          <w:lang w:val="en-US" w:eastAsia="zh-CN"/>
        </w:rPr>
        <w:t>统（OA）</w:t>
      </w:r>
      <w:r>
        <w:rPr>
          <w:rFonts w:hint="eastAsia" w:ascii="仿宋_GB2312" w:hAnsi="仿宋_GB2312" w:eastAsia="仿宋_GB2312" w:cs="仿宋_GB2312"/>
          <w:sz w:val="32"/>
          <w:szCs w:val="32"/>
          <w:highlight w:val="none"/>
        </w:rPr>
        <w:t>将申报材料（含附件1、2、3）扫描件</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电子文档，以及公示照片上</w:t>
      </w:r>
      <w:r>
        <w:rPr>
          <w:rFonts w:hint="eastAsia" w:ascii="仿宋_GB2312" w:hAnsi="仿宋_GB2312" w:eastAsia="仿宋_GB2312" w:cs="仿宋_GB2312"/>
          <w:sz w:val="32"/>
          <w:szCs w:val="32"/>
          <w:highlight w:val="none"/>
        </w:rPr>
        <w:t>报</w:t>
      </w:r>
      <w:r>
        <w:rPr>
          <w:rFonts w:hint="eastAsia" w:ascii="仿宋_GB2312" w:hAnsi="仿宋_GB2312" w:eastAsia="仿宋_GB2312" w:cs="仿宋_GB2312"/>
          <w:sz w:val="32"/>
          <w:szCs w:val="32"/>
          <w:highlight w:val="none"/>
          <w:lang w:eastAsia="zh-CN"/>
        </w:rPr>
        <w:t>区农业农村</w:t>
      </w:r>
      <w:r>
        <w:rPr>
          <w:rFonts w:hint="eastAsia" w:ascii="仿宋_GB2312" w:hAnsi="仿宋_GB2312" w:eastAsia="仿宋_GB2312" w:cs="仿宋_GB2312"/>
          <w:sz w:val="32"/>
          <w:szCs w:val="32"/>
          <w:highlight w:val="none"/>
        </w:rPr>
        <w:t>局种植业管</w:t>
      </w:r>
      <w:r>
        <w:rPr>
          <w:rFonts w:hint="eastAsia" w:ascii="仿宋_GB2312" w:hAnsi="仿宋_GB2312" w:eastAsia="仿宋_GB2312" w:cs="仿宋_GB2312"/>
          <w:sz w:val="32"/>
          <w:szCs w:val="32"/>
        </w:rPr>
        <w:t>理股。</w:t>
      </w:r>
    </w:p>
    <w:p>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（二）对不申报的镇（街），我局不予支持开展本项目。</w:t>
      </w:r>
    </w:p>
    <w:p>
      <w:pPr>
        <w:keepNext w:val="0"/>
        <w:keepLines w:val="0"/>
        <w:pageBreakBefore w:val="0"/>
        <w:kinsoku/>
        <w:wordWrap/>
        <w:overflowPunct/>
        <w:topLinePunct w:val="0"/>
        <w:autoSpaceDE/>
        <w:autoSpaceDN/>
        <w:bidi w:val="0"/>
        <w:adjustRightInd/>
        <w:snapToGrid/>
        <w:spacing w:line="560" w:lineRule="exact"/>
        <w:ind w:firstLine="627" w:firstLineChars="196"/>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（三）中标供应商按合同要求和有关技术措施开展、完成项目建设。做好项目</w:t>
      </w:r>
      <w:r>
        <w:rPr>
          <w:rFonts w:hint="eastAsia" w:ascii="仿宋_GB2312" w:hAnsi="仿宋_GB2312" w:eastAsia="仿宋_GB2312" w:cs="仿宋_GB2312"/>
          <w:kern w:val="0"/>
          <w:sz w:val="32"/>
          <w:szCs w:val="32"/>
        </w:rPr>
        <w:t>区</w:t>
      </w:r>
      <w:r>
        <w:rPr>
          <w:rFonts w:hint="eastAsia" w:ascii="仿宋_GB2312" w:hAnsi="仿宋_GB2312" w:eastAsia="仿宋_GB2312" w:cs="仿宋_GB2312"/>
          <w:sz w:val="32"/>
          <w:szCs w:val="32"/>
        </w:rPr>
        <w:t>的</w:t>
      </w:r>
      <w:r>
        <w:rPr>
          <w:rFonts w:hint="eastAsia" w:ascii="仿宋_GB2312" w:hAnsi="仿宋_GB2312" w:eastAsia="仿宋_GB2312" w:cs="仿宋_GB2312"/>
          <w:kern w:val="0"/>
          <w:sz w:val="32"/>
          <w:szCs w:val="32"/>
        </w:rPr>
        <w:t>水稻病虫灾害损失率、农药使用量减少率和农药包装废弃物回收率等情况调查（附件4）</w:t>
      </w:r>
      <w:r>
        <w:rPr>
          <w:rFonts w:hint="eastAsia" w:ascii="仿宋_GB2312" w:hAnsi="仿宋_GB2312" w:eastAsia="仿宋_GB2312" w:cs="仿宋_GB2312"/>
          <w:sz w:val="32"/>
          <w:szCs w:val="32"/>
        </w:rPr>
        <w:t>。</w:t>
      </w:r>
    </w:p>
    <w:p>
      <w:pPr>
        <w:pStyle w:val="3"/>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做好验收。中标供应商务必于2022年11月中旬前完成项目，向区农业农村局提出验收申请，验收合格后持相关报账材料到区农业农村局报账；区农业农村局组织种植和会计专业类，具中级（含）以上专业技术职称资格的3名专家进行项目验收。</w:t>
      </w:r>
    </w:p>
    <w:p>
      <w:pPr>
        <w:pStyle w:val="3"/>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（五）区农业农村局按上级文件有关要求做好项目推进、监管和建设等情况报送工作。</w:t>
      </w:r>
    </w:p>
    <w:p>
      <w:pPr>
        <w:pStyle w:val="3"/>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left="1920" w:leftChars="200" w:hanging="1280" w:hangingChars="4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附件：1.2022年新会区水稻病虫害统防统治项目</w:t>
      </w:r>
      <w:r>
        <w:rPr>
          <w:rFonts w:hint="eastAsia" w:ascii="仿宋_GB2312" w:hAnsi="仿宋_GB2312" w:eastAsia="仿宋_GB2312" w:cs="仿宋_GB2312"/>
          <w:sz w:val="32"/>
          <w:szCs w:val="32"/>
          <w:lang w:eastAsia="zh-CN"/>
        </w:rPr>
        <w:t>遴选参与农户</w:t>
      </w:r>
      <w:r>
        <w:rPr>
          <w:rFonts w:hint="eastAsia" w:ascii="仿宋_GB2312" w:hAnsi="仿宋_GB2312" w:eastAsia="仿宋_GB2312" w:cs="仿宋_GB2312"/>
          <w:sz w:val="32"/>
          <w:szCs w:val="32"/>
        </w:rPr>
        <w:t>清册</w:t>
      </w:r>
    </w:p>
    <w:p>
      <w:pPr>
        <w:keepNext w:val="0"/>
        <w:keepLines w:val="0"/>
        <w:pageBreakBefore w:val="0"/>
        <w:kinsoku/>
        <w:wordWrap/>
        <w:overflowPunct/>
        <w:topLinePunct w:val="0"/>
        <w:autoSpaceDE/>
        <w:autoSpaceDN/>
        <w:bidi w:val="0"/>
        <w:adjustRightInd/>
        <w:snapToGrid/>
        <w:spacing w:line="560" w:lineRule="exact"/>
        <w:ind w:firstLine="1600" w:firstLineChars="5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2.2022年新会区水稻病虫害统防统治项目申报表</w:t>
      </w:r>
    </w:p>
    <w:p>
      <w:pPr>
        <w:keepNext w:val="0"/>
        <w:keepLines w:val="0"/>
        <w:pageBreakBefore w:val="0"/>
        <w:kinsoku/>
        <w:wordWrap/>
        <w:overflowPunct/>
        <w:topLinePunct w:val="0"/>
        <w:autoSpaceDE/>
        <w:autoSpaceDN/>
        <w:bidi w:val="0"/>
        <w:adjustRightInd/>
        <w:snapToGrid/>
        <w:spacing w:line="560" w:lineRule="exact"/>
        <w:ind w:left="1920" w:leftChars="500" w:hanging="320" w:hangingChars="1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3.2022年新会区水稻病虫你害统防统治项目实施协议（参考样本）</w:t>
      </w:r>
    </w:p>
    <w:p>
      <w:pPr>
        <w:keepNext w:val="0"/>
        <w:keepLines w:val="0"/>
        <w:pageBreakBefore w:val="0"/>
        <w:kinsoku/>
        <w:wordWrap/>
        <w:overflowPunct/>
        <w:topLinePunct w:val="0"/>
        <w:autoSpaceDE/>
        <w:autoSpaceDN/>
        <w:bidi w:val="0"/>
        <w:adjustRightInd/>
        <w:snapToGrid/>
        <w:spacing w:line="560" w:lineRule="exact"/>
        <w:ind w:left="1920" w:leftChars="500" w:hanging="320" w:hangingChars="1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4.本项目</w:t>
      </w:r>
      <w:r>
        <w:rPr>
          <w:rFonts w:hint="eastAsia" w:ascii="仿宋_GB2312" w:hAnsi="仿宋_GB2312" w:eastAsia="仿宋_GB2312" w:cs="仿宋_GB2312"/>
          <w:kern w:val="0"/>
          <w:sz w:val="32"/>
          <w:szCs w:val="32"/>
        </w:rPr>
        <w:t>区</w:t>
      </w:r>
      <w:r>
        <w:rPr>
          <w:rFonts w:hint="eastAsia" w:ascii="仿宋_GB2312" w:hAnsi="仿宋_GB2312" w:eastAsia="仿宋_GB2312" w:cs="仿宋_GB2312"/>
          <w:sz w:val="32"/>
          <w:szCs w:val="32"/>
        </w:rPr>
        <w:t>的</w:t>
      </w:r>
      <w:r>
        <w:rPr>
          <w:rFonts w:hint="eastAsia" w:ascii="仿宋_GB2312" w:hAnsi="仿宋_GB2312" w:eastAsia="仿宋_GB2312" w:cs="仿宋_GB2312"/>
          <w:kern w:val="0"/>
          <w:sz w:val="32"/>
          <w:szCs w:val="32"/>
        </w:rPr>
        <w:t>水稻病虫灾害损失率、农药使用量减少率和农药包装废弃物回收率调查</w:t>
      </w:r>
      <w:r>
        <w:rPr>
          <w:rFonts w:hint="eastAsia" w:ascii="仿宋_GB2312" w:hAnsi="仿宋_GB2312" w:eastAsia="仿宋_GB2312" w:cs="仿宋_GB2312"/>
          <w:sz w:val="32"/>
          <w:szCs w:val="32"/>
        </w:rPr>
        <w:t>表</w:t>
      </w:r>
    </w:p>
    <w:p>
      <w:pPr>
        <w:keepNext w:val="0"/>
        <w:keepLines w:val="0"/>
        <w:pageBreakBefore w:val="0"/>
        <w:widowControl w:val="0"/>
        <w:kinsoku/>
        <w:wordWrap/>
        <w:overflowPunct/>
        <w:topLinePunct w:val="0"/>
        <w:autoSpaceDE/>
        <w:autoSpaceDN/>
        <w:bidi w:val="0"/>
        <w:spacing w:line="520" w:lineRule="exact"/>
        <w:textAlignment w:val="auto"/>
        <w:rPr>
          <w:rFonts w:hint="eastAsia" w:ascii="仿宋_GB2312" w:hAnsi="仿宋_GB2312" w:eastAsia="仿宋_GB2312" w:cs="仿宋_GB2312"/>
          <w:sz w:val="32"/>
          <w:szCs w:val="32"/>
        </w:rPr>
      </w:pPr>
      <w:r>
        <w:rPr>
          <w:rFonts w:hint="eastAsia" w:ascii="仿宋" w:hAnsi="仿宋" w:eastAsia="仿宋" w:cs="仿宋"/>
          <w:sz w:val="32"/>
          <w:szCs w:val="32"/>
        </w:rPr>
        <w:br w:type="page"/>
      </w:r>
      <w:r>
        <w:rPr>
          <w:rFonts w:hint="eastAsia" w:ascii="仿宋_GB2312" w:hAnsi="仿宋_GB2312" w:eastAsia="仿宋_GB2312" w:cs="仿宋_GB2312"/>
          <w:sz w:val="32"/>
          <w:szCs w:val="32"/>
        </w:rPr>
        <w:t>附件1</w:t>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2022年新会区水稻病虫害统防统治项目</w:t>
      </w:r>
      <w:r>
        <w:rPr>
          <w:rFonts w:hint="eastAsia" w:ascii="方正小标宋简体" w:hAnsi="方正小标宋简体" w:eastAsia="方正小标宋简体" w:cs="方正小标宋简体"/>
          <w:b w:val="0"/>
          <w:bCs/>
          <w:sz w:val="44"/>
          <w:szCs w:val="44"/>
          <w:lang w:eastAsia="zh-CN"/>
        </w:rPr>
        <w:t>遴选参与农户</w:t>
      </w:r>
      <w:r>
        <w:rPr>
          <w:rFonts w:hint="eastAsia" w:ascii="方正小标宋简体" w:hAnsi="方正小标宋简体" w:eastAsia="方正小标宋简体" w:cs="方正小标宋简体"/>
          <w:b w:val="0"/>
          <w:bCs/>
          <w:sz w:val="44"/>
          <w:szCs w:val="44"/>
        </w:rPr>
        <w:t>清册</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镇</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 xml:space="preserve">街）农办（盖章）   实施区域（村名） </w:t>
      </w:r>
      <w:r>
        <w:rPr>
          <w:rFonts w:hint="eastAsia" w:ascii="仿宋_GB2312" w:hAnsi="仿宋_GB2312" w:eastAsia="仿宋_GB2312" w:cs="仿宋_GB2312"/>
          <w:kern w:val="0"/>
          <w:sz w:val="32"/>
          <w:szCs w:val="32"/>
          <w:u w:val="single"/>
        </w:rPr>
        <w:t xml:space="preserve">          </w:t>
      </w:r>
    </w:p>
    <w:tbl>
      <w:tblPr>
        <w:tblStyle w:val="8"/>
        <w:tblW w:w="918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1298"/>
        <w:gridCol w:w="926"/>
        <w:gridCol w:w="1920"/>
        <w:gridCol w:w="1395"/>
        <w:gridCol w:w="3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463" w:type="dxa"/>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序号</w:t>
            </w:r>
          </w:p>
        </w:tc>
        <w:tc>
          <w:tcPr>
            <w:tcW w:w="1298" w:type="dxa"/>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_GB2312" w:hAnsi="仿宋_GB2312" w:eastAsia="仿宋_GB2312" w:cs="仿宋_GB2312"/>
                <w:b w:val="0"/>
                <w:bCs w:val="0"/>
                <w:kern w:val="0"/>
                <w:sz w:val="24"/>
                <w:szCs w:val="24"/>
                <w:highlight w:val="none"/>
              </w:rPr>
            </w:pPr>
            <w:r>
              <w:rPr>
                <w:rFonts w:hint="eastAsia" w:ascii="仿宋_GB2312" w:hAnsi="仿宋_GB2312" w:eastAsia="仿宋_GB2312" w:cs="仿宋_GB2312"/>
                <w:b w:val="0"/>
                <w:bCs w:val="0"/>
                <w:kern w:val="0"/>
                <w:sz w:val="24"/>
                <w:szCs w:val="24"/>
                <w:highlight w:val="none"/>
                <w:lang w:eastAsia="zh-CN"/>
              </w:rPr>
              <w:t>遴选</w:t>
            </w:r>
            <w:r>
              <w:rPr>
                <w:rFonts w:hint="eastAsia" w:ascii="仿宋_GB2312" w:hAnsi="仿宋_GB2312" w:eastAsia="仿宋_GB2312" w:cs="仿宋_GB2312"/>
                <w:b w:val="0"/>
                <w:bCs w:val="0"/>
                <w:kern w:val="0"/>
                <w:sz w:val="24"/>
                <w:szCs w:val="24"/>
                <w:highlight w:val="none"/>
              </w:rPr>
              <w:t>参与农户姓名或名称</w:t>
            </w:r>
          </w:p>
        </w:tc>
        <w:tc>
          <w:tcPr>
            <w:tcW w:w="926" w:type="dxa"/>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_GB2312" w:hAnsi="仿宋_GB2312" w:eastAsia="仿宋_GB2312" w:cs="仿宋_GB2312"/>
                <w:b w:val="0"/>
                <w:bCs w:val="0"/>
                <w:kern w:val="0"/>
                <w:sz w:val="24"/>
                <w:szCs w:val="24"/>
                <w:highlight w:val="none"/>
              </w:rPr>
            </w:pPr>
            <w:r>
              <w:rPr>
                <w:rFonts w:hint="eastAsia" w:ascii="仿宋_GB2312" w:hAnsi="仿宋_GB2312" w:eastAsia="仿宋_GB2312" w:cs="仿宋_GB2312"/>
                <w:b w:val="0"/>
                <w:bCs w:val="0"/>
                <w:kern w:val="0"/>
                <w:sz w:val="24"/>
                <w:szCs w:val="24"/>
                <w:highlight w:val="none"/>
              </w:rPr>
              <w:t>2022年晚造水稻种植面积（亩）</w:t>
            </w:r>
          </w:p>
        </w:tc>
        <w:tc>
          <w:tcPr>
            <w:tcW w:w="1920" w:type="dxa"/>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_GB2312" w:hAnsi="仿宋_GB2312" w:eastAsia="仿宋_GB2312" w:cs="仿宋_GB2312"/>
                <w:b w:val="0"/>
                <w:bCs w:val="0"/>
                <w:kern w:val="0"/>
                <w:sz w:val="24"/>
                <w:szCs w:val="24"/>
                <w:highlight w:val="none"/>
              </w:rPr>
            </w:pPr>
            <w:r>
              <w:rPr>
                <w:rFonts w:hint="eastAsia" w:ascii="仿宋_GB2312" w:hAnsi="仿宋_GB2312" w:eastAsia="仿宋_GB2312" w:cs="仿宋_GB2312"/>
                <w:b w:val="0"/>
                <w:bCs w:val="0"/>
                <w:kern w:val="0"/>
                <w:sz w:val="24"/>
                <w:szCs w:val="24"/>
                <w:highlight w:val="none"/>
              </w:rPr>
              <w:t>其中：属于按《新会区粮食生产安全实施方案》要求，今年挖潜新增的晚造水稻种植面积（亩）</w:t>
            </w:r>
          </w:p>
        </w:tc>
        <w:tc>
          <w:tcPr>
            <w:tcW w:w="1395" w:type="dxa"/>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_GB2312" w:hAnsi="仿宋_GB2312" w:eastAsia="仿宋_GB2312" w:cs="仿宋_GB2312"/>
                <w:b w:val="0"/>
                <w:bCs w:val="0"/>
                <w:kern w:val="0"/>
                <w:sz w:val="24"/>
                <w:szCs w:val="24"/>
                <w:highlight w:val="none"/>
                <w:lang w:eastAsia="zh-CN"/>
              </w:rPr>
            </w:pPr>
            <w:r>
              <w:rPr>
                <w:rFonts w:hint="eastAsia" w:ascii="仿宋_GB2312" w:hAnsi="仿宋_GB2312" w:eastAsia="仿宋_GB2312" w:cs="仿宋_GB2312"/>
                <w:b w:val="0"/>
                <w:bCs w:val="0"/>
                <w:kern w:val="0"/>
                <w:sz w:val="24"/>
                <w:szCs w:val="24"/>
                <w:highlight w:val="none"/>
                <w:lang w:eastAsia="zh-CN"/>
              </w:rPr>
              <w:t>经公示</w:t>
            </w:r>
          </w:p>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_GB2312" w:hAnsi="仿宋_GB2312" w:eastAsia="仿宋_GB2312" w:cs="仿宋_GB2312"/>
                <w:b w:val="0"/>
                <w:bCs w:val="0"/>
                <w:kern w:val="0"/>
                <w:sz w:val="24"/>
                <w:szCs w:val="24"/>
                <w:highlight w:val="none"/>
              </w:rPr>
            </w:pPr>
            <w:r>
              <w:rPr>
                <w:rFonts w:hint="eastAsia" w:ascii="仿宋_GB2312" w:hAnsi="仿宋_GB2312" w:eastAsia="仿宋_GB2312" w:cs="仿宋_GB2312"/>
                <w:b w:val="0"/>
                <w:bCs w:val="0"/>
                <w:kern w:val="0"/>
                <w:sz w:val="24"/>
                <w:szCs w:val="24"/>
                <w:highlight w:val="none"/>
              </w:rPr>
              <w:t>同意为水稻病虫害统防统治面积（亩）</w:t>
            </w:r>
          </w:p>
        </w:tc>
        <w:tc>
          <w:tcPr>
            <w:tcW w:w="3180" w:type="dxa"/>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_GB2312" w:hAnsi="仿宋_GB2312" w:eastAsia="仿宋_GB2312" w:cs="仿宋_GB2312"/>
                <w:b w:val="0"/>
                <w:bCs w:val="0"/>
                <w:kern w:val="0"/>
                <w:sz w:val="24"/>
                <w:szCs w:val="24"/>
                <w:highlight w:val="none"/>
                <w:lang w:eastAsia="zh-CN"/>
              </w:rPr>
            </w:pPr>
            <w:r>
              <w:rPr>
                <w:rFonts w:hint="eastAsia" w:ascii="仿宋_GB2312" w:hAnsi="仿宋_GB2312" w:eastAsia="仿宋_GB2312" w:cs="仿宋_GB2312"/>
                <w:b w:val="0"/>
                <w:bCs w:val="0"/>
                <w:kern w:val="0"/>
                <w:sz w:val="24"/>
                <w:szCs w:val="24"/>
                <w:highlight w:val="none"/>
                <w:lang w:eastAsia="zh-CN"/>
              </w:rPr>
              <w:t>经公示</w:t>
            </w:r>
          </w:p>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_GB2312" w:hAnsi="仿宋_GB2312" w:eastAsia="仿宋_GB2312" w:cs="仿宋_GB2312"/>
                <w:b w:val="0"/>
                <w:bCs w:val="0"/>
                <w:kern w:val="0"/>
                <w:sz w:val="24"/>
                <w:szCs w:val="24"/>
                <w:highlight w:val="none"/>
              </w:rPr>
            </w:pPr>
            <w:r>
              <w:rPr>
                <w:rFonts w:hint="eastAsia" w:ascii="仿宋_GB2312" w:hAnsi="仿宋_GB2312" w:eastAsia="仿宋_GB2312" w:cs="仿宋_GB2312"/>
                <w:b w:val="0"/>
                <w:bCs w:val="0"/>
                <w:kern w:val="0"/>
                <w:sz w:val="24"/>
                <w:szCs w:val="24"/>
                <w:highlight w:val="none"/>
              </w:rPr>
              <w:t>是否同意由村委会与镇（街）农办签订实施协议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63" w:type="dxa"/>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1</w:t>
            </w:r>
          </w:p>
        </w:tc>
        <w:tc>
          <w:tcPr>
            <w:tcW w:w="1298" w:type="dxa"/>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b w:val="0"/>
                <w:bCs w:val="0"/>
                <w:kern w:val="0"/>
                <w:sz w:val="24"/>
                <w:szCs w:val="24"/>
              </w:rPr>
            </w:pPr>
          </w:p>
        </w:tc>
        <w:tc>
          <w:tcPr>
            <w:tcW w:w="926" w:type="dxa"/>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b w:val="0"/>
                <w:bCs w:val="0"/>
                <w:kern w:val="0"/>
                <w:sz w:val="24"/>
                <w:szCs w:val="24"/>
              </w:rPr>
            </w:pPr>
          </w:p>
        </w:tc>
        <w:tc>
          <w:tcPr>
            <w:tcW w:w="1920" w:type="dxa"/>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b w:val="0"/>
                <w:bCs w:val="0"/>
                <w:kern w:val="0"/>
                <w:sz w:val="24"/>
                <w:szCs w:val="24"/>
              </w:rPr>
            </w:pPr>
          </w:p>
        </w:tc>
        <w:tc>
          <w:tcPr>
            <w:tcW w:w="1395" w:type="dxa"/>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b w:val="0"/>
                <w:bCs w:val="0"/>
                <w:kern w:val="0"/>
                <w:sz w:val="24"/>
                <w:szCs w:val="24"/>
              </w:rPr>
            </w:pPr>
          </w:p>
        </w:tc>
        <w:tc>
          <w:tcPr>
            <w:tcW w:w="3180" w:type="dxa"/>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b w:val="0"/>
                <w:bCs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63" w:type="dxa"/>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2</w:t>
            </w:r>
          </w:p>
        </w:tc>
        <w:tc>
          <w:tcPr>
            <w:tcW w:w="1298" w:type="dxa"/>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b w:val="0"/>
                <w:bCs w:val="0"/>
                <w:kern w:val="0"/>
                <w:sz w:val="24"/>
                <w:szCs w:val="24"/>
              </w:rPr>
            </w:pPr>
          </w:p>
        </w:tc>
        <w:tc>
          <w:tcPr>
            <w:tcW w:w="926" w:type="dxa"/>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b w:val="0"/>
                <w:bCs w:val="0"/>
                <w:kern w:val="0"/>
                <w:sz w:val="24"/>
                <w:szCs w:val="24"/>
              </w:rPr>
            </w:pPr>
          </w:p>
        </w:tc>
        <w:tc>
          <w:tcPr>
            <w:tcW w:w="1920" w:type="dxa"/>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b w:val="0"/>
                <w:bCs w:val="0"/>
                <w:kern w:val="0"/>
                <w:sz w:val="24"/>
                <w:szCs w:val="24"/>
              </w:rPr>
            </w:pPr>
          </w:p>
        </w:tc>
        <w:tc>
          <w:tcPr>
            <w:tcW w:w="1395" w:type="dxa"/>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b w:val="0"/>
                <w:bCs w:val="0"/>
                <w:kern w:val="0"/>
                <w:sz w:val="24"/>
                <w:szCs w:val="24"/>
              </w:rPr>
            </w:pPr>
          </w:p>
        </w:tc>
        <w:tc>
          <w:tcPr>
            <w:tcW w:w="3180" w:type="dxa"/>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b w:val="0"/>
                <w:bCs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63" w:type="dxa"/>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3</w:t>
            </w:r>
          </w:p>
        </w:tc>
        <w:tc>
          <w:tcPr>
            <w:tcW w:w="1298" w:type="dxa"/>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b w:val="0"/>
                <w:bCs w:val="0"/>
                <w:kern w:val="0"/>
                <w:sz w:val="24"/>
                <w:szCs w:val="24"/>
              </w:rPr>
            </w:pPr>
          </w:p>
        </w:tc>
        <w:tc>
          <w:tcPr>
            <w:tcW w:w="926" w:type="dxa"/>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b w:val="0"/>
                <w:bCs w:val="0"/>
                <w:kern w:val="0"/>
                <w:sz w:val="24"/>
                <w:szCs w:val="24"/>
              </w:rPr>
            </w:pPr>
          </w:p>
        </w:tc>
        <w:tc>
          <w:tcPr>
            <w:tcW w:w="1920" w:type="dxa"/>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b w:val="0"/>
                <w:bCs w:val="0"/>
                <w:kern w:val="0"/>
                <w:sz w:val="24"/>
                <w:szCs w:val="24"/>
              </w:rPr>
            </w:pPr>
          </w:p>
        </w:tc>
        <w:tc>
          <w:tcPr>
            <w:tcW w:w="1395" w:type="dxa"/>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b w:val="0"/>
                <w:bCs w:val="0"/>
                <w:kern w:val="0"/>
                <w:sz w:val="24"/>
                <w:szCs w:val="24"/>
              </w:rPr>
            </w:pPr>
          </w:p>
        </w:tc>
        <w:tc>
          <w:tcPr>
            <w:tcW w:w="3180" w:type="dxa"/>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b w:val="0"/>
                <w:bCs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63" w:type="dxa"/>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4</w:t>
            </w:r>
          </w:p>
        </w:tc>
        <w:tc>
          <w:tcPr>
            <w:tcW w:w="1298" w:type="dxa"/>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b w:val="0"/>
                <w:bCs w:val="0"/>
                <w:kern w:val="0"/>
                <w:sz w:val="24"/>
                <w:szCs w:val="24"/>
              </w:rPr>
            </w:pPr>
          </w:p>
        </w:tc>
        <w:tc>
          <w:tcPr>
            <w:tcW w:w="926" w:type="dxa"/>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b w:val="0"/>
                <w:bCs w:val="0"/>
                <w:kern w:val="0"/>
                <w:sz w:val="24"/>
                <w:szCs w:val="24"/>
              </w:rPr>
            </w:pPr>
          </w:p>
        </w:tc>
        <w:tc>
          <w:tcPr>
            <w:tcW w:w="1920" w:type="dxa"/>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b w:val="0"/>
                <w:bCs w:val="0"/>
                <w:kern w:val="0"/>
                <w:sz w:val="24"/>
                <w:szCs w:val="24"/>
              </w:rPr>
            </w:pPr>
          </w:p>
        </w:tc>
        <w:tc>
          <w:tcPr>
            <w:tcW w:w="1395" w:type="dxa"/>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b w:val="0"/>
                <w:bCs w:val="0"/>
                <w:kern w:val="0"/>
                <w:sz w:val="24"/>
                <w:szCs w:val="24"/>
              </w:rPr>
            </w:pPr>
          </w:p>
        </w:tc>
        <w:tc>
          <w:tcPr>
            <w:tcW w:w="3180" w:type="dxa"/>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b w:val="0"/>
                <w:bCs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63" w:type="dxa"/>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5</w:t>
            </w:r>
          </w:p>
        </w:tc>
        <w:tc>
          <w:tcPr>
            <w:tcW w:w="1298" w:type="dxa"/>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b w:val="0"/>
                <w:bCs w:val="0"/>
                <w:kern w:val="0"/>
                <w:sz w:val="24"/>
                <w:szCs w:val="24"/>
              </w:rPr>
            </w:pPr>
          </w:p>
        </w:tc>
        <w:tc>
          <w:tcPr>
            <w:tcW w:w="926" w:type="dxa"/>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b w:val="0"/>
                <w:bCs w:val="0"/>
                <w:kern w:val="0"/>
                <w:sz w:val="24"/>
                <w:szCs w:val="24"/>
              </w:rPr>
            </w:pPr>
          </w:p>
        </w:tc>
        <w:tc>
          <w:tcPr>
            <w:tcW w:w="1920" w:type="dxa"/>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b w:val="0"/>
                <w:bCs w:val="0"/>
                <w:kern w:val="0"/>
                <w:sz w:val="24"/>
                <w:szCs w:val="24"/>
              </w:rPr>
            </w:pPr>
          </w:p>
        </w:tc>
        <w:tc>
          <w:tcPr>
            <w:tcW w:w="1395" w:type="dxa"/>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b w:val="0"/>
                <w:bCs w:val="0"/>
                <w:kern w:val="0"/>
                <w:sz w:val="24"/>
                <w:szCs w:val="24"/>
              </w:rPr>
            </w:pPr>
          </w:p>
        </w:tc>
        <w:tc>
          <w:tcPr>
            <w:tcW w:w="3180" w:type="dxa"/>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b w:val="0"/>
                <w:bCs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63" w:type="dxa"/>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6</w:t>
            </w:r>
          </w:p>
        </w:tc>
        <w:tc>
          <w:tcPr>
            <w:tcW w:w="1298" w:type="dxa"/>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b w:val="0"/>
                <w:bCs w:val="0"/>
                <w:kern w:val="0"/>
                <w:sz w:val="24"/>
                <w:szCs w:val="24"/>
              </w:rPr>
            </w:pPr>
          </w:p>
        </w:tc>
        <w:tc>
          <w:tcPr>
            <w:tcW w:w="926" w:type="dxa"/>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b w:val="0"/>
                <w:bCs w:val="0"/>
                <w:kern w:val="0"/>
                <w:sz w:val="24"/>
                <w:szCs w:val="24"/>
              </w:rPr>
            </w:pPr>
          </w:p>
        </w:tc>
        <w:tc>
          <w:tcPr>
            <w:tcW w:w="1920" w:type="dxa"/>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b w:val="0"/>
                <w:bCs w:val="0"/>
                <w:kern w:val="0"/>
                <w:sz w:val="24"/>
                <w:szCs w:val="24"/>
              </w:rPr>
            </w:pPr>
          </w:p>
        </w:tc>
        <w:tc>
          <w:tcPr>
            <w:tcW w:w="1395" w:type="dxa"/>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b w:val="0"/>
                <w:bCs w:val="0"/>
                <w:kern w:val="0"/>
                <w:sz w:val="24"/>
                <w:szCs w:val="24"/>
              </w:rPr>
            </w:pPr>
          </w:p>
        </w:tc>
        <w:tc>
          <w:tcPr>
            <w:tcW w:w="3180" w:type="dxa"/>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b w:val="0"/>
                <w:bCs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63" w:type="dxa"/>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7</w:t>
            </w:r>
          </w:p>
        </w:tc>
        <w:tc>
          <w:tcPr>
            <w:tcW w:w="1298" w:type="dxa"/>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b w:val="0"/>
                <w:bCs w:val="0"/>
                <w:kern w:val="0"/>
                <w:sz w:val="24"/>
                <w:szCs w:val="24"/>
              </w:rPr>
            </w:pPr>
          </w:p>
        </w:tc>
        <w:tc>
          <w:tcPr>
            <w:tcW w:w="926" w:type="dxa"/>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b w:val="0"/>
                <w:bCs w:val="0"/>
                <w:kern w:val="0"/>
                <w:sz w:val="24"/>
                <w:szCs w:val="24"/>
              </w:rPr>
            </w:pPr>
          </w:p>
        </w:tc>
        <w:tc>
          <w:tcPr>
            <w:tcW w:w="1920" w:type="dxa"/>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b w:val="0"/>
                <w:bCs w:val="0"/>
                <w:kern w:val="0"/>
                <w:sz w:val="24"/>
                <w:szCs w:val="24"/>
              </w:rPr>
            </w:pPr>
          </w:p>
        </w:tc>
        <w:tc>
          <w:tcPr>
            <w:tcW w:w="1395" w:type="dxa"/>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b w:val="0"/>
                <w:bCs w:val="0"/>
                <w:kern w:val="0"/>
                <w:sz w:val="24"/>
                <w:szCs w:val="24"/>
              </w:rPr>
            </w:pPr>
          </w:p>
        </w:tc>
        <w:tc>
          <w:tcPr>
            <w:tcW w:w="3180" w:type="dxa"/>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b w:val="0"/>
                <w:bCs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63" w:type="dxa"/>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8</w:t>
            </w:r>
          </w:p>
        </w:tc>
        <w:tc>
          <w:tcPr>
            <w:tcW w:w="1298" w:type="dxa"/>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b w:val="0"/>
                <w:bCs w:val="0"/>
                <w:kern w:val="0"/>
                <w:sz w:val="24"/>
                <w:szCs w:val="24"/>
              </w:rPr>
            </w:pPr>
          </w:p>
        </w:tc>
        <w:tc>
          <w:tcPr>
            <w:tcW w:w="926" w:type="dxa"/>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b w:val="0"/>
                <w:bCs w:val="0"/>
                <w:kern w:val="0"/>
                <w:sz w:val="24"/>
                <w:szCs w:val="24"/>
              </w:rPr>
            </w:pPr>
          </w:p>
        </w:tc>
        <w:tc>
          <w:tcPr>
            <w:tcW w:w="1920" w:type="dxa"/>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b w:val="0"/>
                <w:bCs w:val="0"/>
                <w:kern w:val="0"/>
                <w:sz w:val="24"/>
                <w:szCs w:val="24"/>
              </w:rPr>
            </w:pPr>
          </w:p>
        </w:tc>
        <w:tc>
          <w:tcPr>
            <w:tcW w:w="1395" w:type="dxa"/>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b w:val="0"/>
                <w:bCs w:val="0"/>
                <w:kern w:val="0"/>
                <w:sz w:val="24"/>
                <w:szCs w:val="24"/>
              </w:rPr>
            </w:pPr>
          </w:p>
        </w:tc>
        <w:tc>
          <w:tcPr>
            <w:tcW w:w="3180" w:type="dxa"/>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b w:val="0"/>
                <w:bCs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3" w:hRule="atLeast"/>
        </w:trPr>
        <w:tc>
          <w:tcPr>
            <w:tcW w:w="463" w:type="dxa"/>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9</w:t>
            </w:r>
          </w:p>
        </w:tc>
        <w:tc>
          <w:tcPr>
            <w:tcW w:w="1298" w:type="dxa"/>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b w:val="0"/>
                <w:bCs w:val="0"/>
                <w:kern w:val="0"/>
                <w:sz w:val="24"/>
                <w:szCs w:val="24"/>
              </w:rPr>
            </w:pPr>
          </w:p>
        </w:tc>
        <w:tc>
          <w:tcPr>
            <w:tcW w:w="926" w:type="dxa"/>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b w:val="0"/>
                <w:bCs w:val="0"/>
                <w:kern w:val="0"/>
                <w:sz w:val="24"/>
                <w:szCs w:val="24"/>
              </w:rPr>
            </w:pPr>
          </w:p>
        </w:tc>
        <w:tc>
          <w:tcPr>
            <w:tcW w:w="1920" w:type="dxa"/>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b w:val="0"/>
                <w:bCs w:val="0"/>
                <w:kern w:val="0"/>
                <w:sz w:val="24"/>
                <w:szCs w:val="24"/>
              </w:rPr>
            </w:pPr>
          </w:p>
        </w:tc>
        <w:tc>
          <w:tcPr>
            <w:tcW w:w="1395" w:type="dxa"/>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b w:val="0"/>
                <w:bCs w:val="0"/>
                <w:kern w:val="0"/>
                <w:sz w:val="24"/>
                <w:szCs w:val="24"/>
              </w:rPr>
            </w:pPr>
          </w:p>
        </w:tc>
        <w:tc>
          <w:tcPr>
            <w:tcW w:w="3180" w:type="dxa"/>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b w:val="0"/>
                <w:bCs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63" w:type="dxa"/>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10</w:t>
            </w:r>
          </w:p>
        </w:tc>
        <w:tc>
          <w:tcPr>
            <w:tcW w:w="1298" w:type="dxa"/>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b w:val="0"/>
                <w:bCs w:val="0"/>
                <w:kern w:val="0"/>
                <w:sz w:val="24"/>
                <w:szCs w:val="24"/>
              </w:rPr>
            </w:pPr>
          </w:p>
        </w:tc>
        <w:tc>
          <w:tcPr>
            <w:tcW w:w="926" w:type="dxa"/>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b w:val="0"/>
                <w:bCs w:val="0"/>
                <w:kern w:val="0"/>
                <w:sz w:val="24"/>
                <w:szCs w:val="24"/>
              </w:rPr>
            </w:pPr>
          </w:p>
        </w:tc>
        <w:tc>
          <w:tcPr>
            <w:tcW w:w="1920" w:type="dxa"/>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b w:val="0"/>
                <w:bCs w:val="0"/>
                <w:kern w:val="0"/>
                <w:sz w:val="24"/>
                <w:szCs w:val="24"/>
              </w:rPr>
            </w:pPr>
          </w:p>
        </w:tc>
        <w:tc>
          <w:tcPr>
            <w:tcW w:w="1395" w:type="dxa"/>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b w:val="0"/>
                <w:bCs w:val="0"/>
                <w:kern w:val="0"/>
                <w:sz w:val="24"/>
                <w:szCs w:val="24"/>
              </w:rPr>
            </w:pPr>
          </w:p>
        </w:tc>
        <w:tc>
          <w:tcPr>
            <w:tcW w:w="3180" w:type="dxa"/>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b w:val="0"/>
                <w:bCs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63" w:type="dxa"/>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11</w:t>
            </w:r>
          </w:p>
        </w:tc>
        <w:tc>
          <w:tcPr>
            <w:tcW w:w="1298" w:type="dxa"/>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b w:val="0"/>
                <w:bCs w:val="0"/>
                <w:kern w:val="0"/>
                <w:sz w:val="24"/>
                <w:szCs w:val="24"/>
              </w:rPr>
            </w:pPr>
          </w:p>
        </w:tc>
        <w:tc>
          <w:tcPr>
            <w:tcW w:w="926" w:type="dxa"/>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b w:val="0"/>
                <w:bCs w:val="0"/>
                <w:kern w:val="0"/>
                <w:sz w:val="24"/>
                <w:szCs w:val="24"/>
              </w:rPr>
            </w:pPr>
          </w:p>
        </w:tc>
        <w:tc>
          <w:tcPr>
            <w:tcW w:w="1920" w:type="dxa"/>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b w:val="0"/>
                <w:bCs w:val="0"/>
                <w:kern w:val="0"/>
                <w:sz w:val="24"/>
                <w:szCs w:val="24"/>
              </w:rPr>
            </w:pPr>
          </w:p>
        </w:tc>
        <w:tc>
          <w:tcPr>
            <w:tcW w:w="1395" w:type="dxa"/>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b w:val="0"/>
                <w:bCs w:val="0"/>
                <w:kern w:val="0"/>
                <w:sz w:val="24"/>
                <w:szCs w:val="24"/>
              </w:rPr>
            </w:pPr>
          </w:p>
        </w:tc>
        <w:tc>
          <w:tcPr>
            <w:tcW w:w="3180" w:type="dxa"/>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b w:val="0"/>
                <w:bCs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63" w:type="dxa"/>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12</w:t>
            </w:r>
          </w:p>
        </w:tc>
        <w:tc>
          <w:tcPr>
            <w:tcW w:w="1298" w:type="dxa"/>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b w:val="0"/>
                <w:bCs w:val="0"/>
                <w:kern w:val="0"/>
                <w:sz w:val="24"/>
                <w:szCs w:val="24"/>
              </w:rPr>
            </w:pPr>
          </w:p>
        </w:tc>
        <w:tc>
          <w:tcPr>
            <w:tcW w:w="926" w:type="dxa"/>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b w:val="0"/>
                <w:bCs w:val="0"/>
                <w:kern w:val="0"/>
                <w:sz w:val="24"/>
                <w:szCs w:val="24"/>
              </w:rPr>
            </w:pPr>
          </w:p>
        </w:tc>
        <w:tc>
          <w:tcPr>
            <w:tcW w:w="1920" w:type="dxa"/>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b w:val="0"/>
                <w:bCs w:val="0"/>
                <w:kern w:val="0"/>
                <w:sz w:val="24"/>
                <w:szCs w:val="24"/>
              </w:rPr>
            </w:pPr>
          </w:p>
        </w:tc>
        <w:tc>
          <w:tcPr>
            <w:tcW w:w="1395" w:type="dxa"/>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b w:val="0"/>
                <w:bCs w:val="0"/>
                <w:kern w:val="0"/>
                <w:sz w:val="24"/>
                <w:szCs w:val="24"/>
              </w:rPr>
            </w:pPr>
          </w:p>
        </w:tc>
        <w:tc>
          <w:tcPr>
            <w:tcW w:w="3180" w:type="dxa"/>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b w:val="0"/>
                <w:bCs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3" w:hRule="atLeast"/>
        </w:trPr>
        <w:tc>
          <w:tcPr>
            <w:tcW w:w="463" w:type="dxa"/>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13</w:t>
            </w:r>
          </w:p>
        </w:tc>
        <w:tc>
          <w:tcPr>
            <w:tcW w:w="1298" w:type="dxa"/>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b w:val="0"/>
                <w:bCs w:val="0"/>
                <w:kern w:val="0"/>
                <w:sz w:val="24"/>
                <w:szCs w:val="24"/>
              </w:rPr>
            </w:pPr>
          </w:p>
        </w:tc>
        <w:tc>
          <w:tcPr>
            <w:tcW w:w="926" w:type="dxa"/>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b w:val="0"/>
                <w:bCs w:val="0"/>
                <w:kern w:val="0"/>
                <w:sz w:val="24"/>
                <w:szCs w:val="24"/>
              </w:rPr>
            </w:pPr>
          </w:p>
        </w:tc>
        <w:tc>
          <w:tcPr>
            <w:tcW w:w="1920" w:type="dxa"/>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b w:val="0"/>
                <w:bCs w:val="0"/>
                <w:kern w:val="0"/>
                <w:sz w:val="24"/>
                <w:szCs w:val="24"/>
              </w:rPr>
            </w:pPr>
          </w:p>
        </w:tc>
        <w:tc>
          <w:tcPr>
            <w:tcW w:w="1395" w:type="dxa"/>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b w:val="0"/>
                <w:bCs w:val="0"/>
                <w:kern w:val="0"/>
                <w:sz w:val="24"/>
                <w:szCs w:val="24"/>
              </w:rPr>
            </w:pPr>
          </w:p>
        </w:tc>
        <w:tc>
          <w:tcPr>
            <w:tcW w:w="3180" w:type="dxa"/>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b w:val="0"/>
                <w:bCs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63" w:type="dxa"/>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14</w:t>
            </w:r>
          </w:p>
        </w:tc>
        <w:tc>
          <w:tcPr>
            <w:tcW w:w="1298" w:type="dxa"/>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b w:val="0"/>
                <w:bCs w:val="0"/>
                <w:kern w:val="0"/>
                <w:sz w:val="24"/>
                <w:szCs w:val="24"/>
              </w:rPr>
            </w:pPr>
          </w:p>
        </w:tc>
        <w:tc>
          <w:tcPr>
            <w:tcW w:w="926" w:type="dxa"/>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b w:val="0"/>
                <w:bCs w:val="0"/>
                <w:kern w:val="0"/>
                <w:sz w:val="24"/>
                <w:szCs w:val="24"/>
              </w:rPr>
            </w:pPr>
          </w:p>
        </w:tc>
        <w:tc>
          <w:tcPr>
            <w:tcW w:w="1920" w:type="dxa"/>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b w:val="0"/>
                <w:bCs w:val="0"/>
                <w:kern w:val="0"/>
                <w:sz w:val="24"/>
                <w:szCs w:val="24"/>
              </w:rPr>
            </w:pPr>
          </w:p>
        </w:tc>
        <w:tc>
          <w:tcPr>
            <w:tcW w:w="1395" w:type="dxa"/>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b w:val="0"/>
                <w:bCs w:val="0"/>
                <w:kern w:val="0"/>
                <w:sz w:val="24"/>
                <w:szCs w:val="24"/>
              </w:rPr>
            </w:pPr>
          </w:p>
        </w:tc>
        <w:tc>
          <w:tcPr>
            <w:tcW w:w="3180" w:type="dxa"/>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b w:val="0"/>
                <w:bCs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63" w:type="dxa"/>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15</w:t>
            </w:r>
          </w:p>
        </w:tc>
        <w:tc>
          <w:tcPr>
            <w:tcW w:w="1298" w:type="dxa"/>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b w:val="0"/>
                <w:bCs w:val="0"/>
                <w:kern w:val="0"/>
                <w:sz w:val="24"/>
                <w:szCs w:val="24"/>
              </w:rPr>
            </w:pPr>
          </w:p>
        </w:tc>
        <w:tc>
          <w:tcPr>
            <w:tcW w:w="926" w:type="dxa"/>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b w:val="0"/>
                <w:bCs w:val="0"/>
                <w:kern w:val="0"/>
                <w:sz w:val="24"/>
                <w:szCs w:val="24"/>
              </w:rPr>
            </w:pPr>
          </w:p>
        </w:tc>
        <w:tc>
          <w:tcPr>
            <w:tcW w:w="1920" w:type="dxa"/>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b w:val="0"/>
                <w:bCs w:val="0"/>
                <w:kern w:val="0"/>
                <w:sz w:val="24"/>
                <w:szCs w:val="24"/>
              </w:rPr>
            </w:pPr>
          </w:p>
        </w:tc>
        <w:tc>
          <w:tcPr>
            <w:tcW w:w="1395" w:type="dxa"/>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b w:val="0"/>
                <w:bCs w:val="0"/>
                <w:kern w:val="0"/>
                <w:sz w:val="24"/>
                <w:szCs w:val="24"/>
              </w:rPr>
            </w:pPr>
          </w:p>
        </w:tc>
        <w:tc>
          <w:tcPr>
            <w:tcW w:w="3180" w:type="dxa"/>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b w:val="0"/>
                <w:bCs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63" w:type="dxa"/>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_GB2312" w:hAnsi="仿宋_GB2312" w:eastAsia="仿宋_GB2312" w:cs="仿宋_GB2312"/>
                <w:b w:val="0"/>
                <w:bCs w:val="0"/>
                <w:kern w:val="0"/>
                <w:sz w:val="24"/>
                <w:szCs w:val="24"/>
                <w:lang w:eastAsia="zh-CN"/>
              </w:rPr>
            </w:pPr>
            <w:r>
              <w:rPr>
                <w:rFonts w:hint="eastAsia" w:ascii="仿宋_GB2312" w:hAnsi="仿宋_GB2312" w:eastAsia="仿宋_GB2312" w:cs="仿宋_GB2312"/>
                <w:b w:val="0"/>
                <w:bCs w:val="0"/>
                <w:kern w:val="0"/>
                <w:sz w:val="24"/>
                <w:szCs w:val="24"/>
              </w:rPr>
              <w:t>1</w:t>
            </w:r>
            <w:r>
              <w:rPr>
                <w:rFonts w:hint="eastAsia" w:ascii="仿宋_GB2312" w:hAnsi="仿宋_GB2312" w:eastAsia="仿宋_GB2312" w:cs="仿宋_GB2312"/>
                <w:b w:val="0"/>
                <w:bCs w:val="0"/>
                <w:kern w:val="0"/>
                <w:sz w:val="24"/>
                <w:szCs w:val="24"/>
                <w:lang w:val="en-US" w:eastAsia="zh-CN"/>
              </w:rPr>
              <w:t>6</w:t>
            </w:r>
          </w:p>
        </w:tc>
        <w:tc>
          <w:tcPr>
            <w:tcW w:w="1298" w:type="dxa"/>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合计</w:t>
            </w:r>
          </w:p>
        </w:tc>
        <w:tc>
          <w:tcPr>
            <w:tcW w:w="926" w:type="dxa"/>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_GB2312" w:hAnsi="仿宋_GB2312" w:eastAsia="仿宋_GB2312" w:cs="仿宋_GB2312"/>
                <w:b w:val="0"/>
                <w:bCs w:val="0"/>
                <w:kern w:val="0"/>
                <w:sz w:val="24"/>
                <w:szCs w:val="24"/>
              </w:rPr>
            </w:pPr>
          </w:p>
        </w:tc>
        <w:tc>
          <w:tcPr>
            <w:tcW w:w="1920" w:type="dxa"/>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_GB2312" w:hAnsi="仿宋_GB2312" w:eastAsia="仿宋_GB2312" w:cs="仿宋_GB2312"/>
                <w:b w:val="0"/>
                <w:bCs w:val="0"/>
                <w:kern w:val="0"/>
                <w:sz w:val="24"/>
                <w:szCs w:val="24"/>
              </w:rPr>
            </w:pPr>
          </w:p>
        </w:tc>
        <w:tc>
          <w:tcPr>
            <w:tcW w:w="1395" w:type="dxa"/>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_GB2312" w:hAnsi="仿宋_GB2312" w:eastAsia="仿宋_GB2312" w:cs="仿宋_GB2312"/>
                <w:b w:val="0"/>
                <w:bCs w:val="0"/>
                <w:kern w:val="0"/>
                <w:sz w:val="24"/>
                <w:szCs w:val="24"/>
              </w:rPr>
            </w:pPr>
          </w:p>
        </w:tc>
        <w:tc>
          <w:tcPr>
            <w:tcW w:w="3180" w:type="dxa"/>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_GB2312" w:hAnsi="仿宋_GB2312" w:eastAsia="仿宋_GB2312" w:cs="仿宋_GB2312"/>
                <w:b w:val="0"/>
                <w:bCs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9182" w:type="dxa"/>
            <w:gridSpan w:val="6"/>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80" w:lineRule="exact"/>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村委会意见：</w:t>
            </w:r>
          </w:p>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80" w:lineRule="exact"/>
              <w:textAlignment w:val="auto"/>
              <w:rPr>
                <w:rFonts w:hint="default"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 xml:space="preserve">   </w:t>
            </w:r>
          </w:p>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80" w:lineRule="exact"/>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 xml:space="preserve">                                   村主任签名：</w:t>
            </w:r>
          </w:p>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80" w:lineRule="exact"/>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 xml:space="preserve">                                  （村委会公章）</w:t>
            </w:r>
          </w:p>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80" w:lineRule="exact"/>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 xml:space="preserve">                                  2022年</w:t>
            </w:r>
            <w:r>
              <w:rPr>
                <w:rFonts w:hint="eastAsia" w:ascii="仿宋_GB2312" w:hAnsi="仿宋_GB2312" w:eastAsia="仿宋_GB2312" w:cs="仿宋_GB2312"/>
                <w:b w:val="0"/>
                <w:bCs w:val="0"/>
                <w:kern w:val="0"/>
                <w:sz w:val="24"/>
                <w:szCs w:val="24"/>
                <w:u w:val="single"/>
              </w:rPr>
              <w:t xml:space="preserve">    </w:t>
            </w:r>
            <w:r>
              <w:rPr>
                <w:rFonts w:hint="eastAsia" w:ascii="仿宋_GB2312" w:hAnsi="仿宋_GB2312" w:eastAsia="仿宋_GB2312" w:cs="仿宋_GB2312"/>
                <w:b w:val="0"/>
                <w:bCs w:val="0"/>
                <w:kern w:val="0"/>
                <w:sz w:val="24"/>
                <w:szCs w:val="24"/>
              </w:rPr>
              <w:t>月</w:t>
            </w:r>
            <w:r>
              <w:rPr>
                <w:rFonts w:hint="eastAsia" w:ascii="仿宋_GB2312" w:hAnsi="仿宋_GB2312" w:eastAsia="仿宋_GB2312" w:cs="仿宋_GB2312"/>
                <w:b w:val="0"/>
                <w:bCs w:val="0"/>
                <w:kern w:val="0"/>
                <w:sz w:val="24"/>
                <w:szCs w:val="24"/>
                <w:u w:val="single"/>
              </w:rPr>
              <w:t xml:space="preserve">    </w:t>
            </w:r>
            <w:r>
              <w:rPr>
                <w:rFonts w:hint="eastAsia" w:ascii="仿宋_GB2312" w:hAnsi="仿宋_GB2312" w:eastAsia="仿宋_GB2312" w:cs="仿宋_GB2312"/>
                <w:b w:val="0"/>
                <w:bCs w:val="0"/>
                <w:kern w:val="0"/>
                <w:sz w:val="24"/>
                <w:szCs w:val="24"/>
              </w:rPr>
              <w:t>日</w:t>
            </w:r>
          </w:p>
        </w:tc>
      </w:tr>
    </w:tbl>
    <w:p>
      <w:pPr>
        <w:widowControl/>
        <w:jc w:val="left"/>
        <w:rPr>
          <w:rFonts w:hint="eastAsia" w:ascii="仿宋_GB2312" w:hAnsi="仿宋_GB2312" w:eastAsia="仿宋_GB2312" w:cs="仿宋_GB2312"/>
          <w:b/>
          <w:kern w:val="0"/>
          <w:szCs w:val="21"/>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镇（街）农办经办人签字：       镇（街）农办主任签字：</w:t>
      </w:r>
    </w:p>
    <w:p>
      <w:pPr>
        <w:keepNext w:val="0"/>
        <w:keepLines w:val="0"/>
        <w:pageBreakBefore w:val="0"/>
        <w:widowControl/>
        <w:kinsoku/>
        <w:wordWrap/>
        <w:overflowPunct/>
        <w:topLinePunct w:val="0"/>
        <w:autoSpaceDE/>
        <w:autoSpaceDN/>
        <w:bidi w:val="0"/>
        <w:adjustRightInd/>
        <w:snapToGrid/>
        <w:spacing w:line="520" w:lineRule="exact"/>
        <w:ind w:firstLine="3840" w:firstLineChars="1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登记日期：2022年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w:t>
      </w:r>
    </w:p>
    <w:p>
      <w:pPr>
        <w:rPr>
          <w:rFonts w:hint="eastAsia" w:ascii="仿宋_GB2312" w:hAnsi="仿宋_GB2312" w:eastAsia="仿宋_GB2312" w:cs="仿宋_GB2312"/>
          <w:sz w:val="32"/>
          <w:szCs w:val="32"/>
        </w:rPr>
        <w:sectPr>
          <w:pgSz w:w="11906" w:h="16838"/>
          <w:pgMar w:top="1701" w:right="1587" w:bottom="1417" w:left="1587" w:header="851" w:footer="992" w:gutter="0"/>
          <w:pgNumType w:fmt="decimal"/>
          <w:cols w:space="0" w:num="1"/>
          <w:docGrid w:type="lines" w:linePitch="319" w:charSpace="0"/>
        </w:sect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adjustRightInd w:val="0"/>
        <w:snapToGrid w:val="0"/>
        <w:spacing w:line="590" w:lineRule="exact"/>
        <w:jc w:val="center"/>
        <w:rPr>
          <w:rFonts w:ascii="仿宋" w:hAnsi="仿宋" w:eastAsia="仿宋" w:cs="仿宋"/>
          <w:b/>
          <w:sz w:val="44"/>
          <w:szCs w:val="44"/>
        </w:rPr>
      </w:pPr>
      <w:r>
        <w:rPr>
          <w:rFonts w:hint="eastAsia" w:ascii="方正小标宋简体" w:hAnsi="方正小标宋简体" w:eastAsia="方正小标宋简体" w:cs="方正小标宋简体"/>
          <w:b w:val="0"/>
          <w:bCs/>
          <w:sz w:val="44"/>
          <w:szCs w:val="44"/>
        </w:rPr>
        <w:t>2022年新会区水稻病虫害统防统治项目申报表</w:t>
      </w:r>
    </w:p>
    <w:p>
      <w:pPr>
        <w:ind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申报单位（公章）：</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镇（街）农业农村办公室           申报时间：2022年   月  日</w:t>
      </w:r>
    </w:p>
    <w:tbl>
      <w:tblPr>
        <w:tblStyle w:val="8"/>
        <w:tblW w:w="1381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539"/>
        <w:gridCol w:w="1161"/>
        <w:gridCol w:w="1162"/>
        <w:gridCol w:w="2235"/>
        <w:gridCol w:w="1866"/>
        <w:gridCol w:w="2791"/>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90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1539"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实施村</w:t>
            </w:r>
          </w:p>
        </w:tc>
        <w:tc>
          <w:tcPr>
            <w:tcW w:w="1161"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参与农户户数（户）</w:t>
            </w:r>
          </w:p>
        </w:tc>
        <w:tc>
          <w:tcPr>
            <w:tcW w:w="1162" w:type="dxa"/>
            <w:vAlign w:val="center"/>
          </w:tcPr>
          <w:p>
            <w:pPr>
              <w:widowControl/>
              <w:tabs>
                <w:tab w:val="center" w:pos="4153"/>
                <w:tab w:val="right" w:pos="8306"/>
              </w:tabs>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2022年晚造水稻种植面积（亩）</w:t>
            </w:r>
          </w:p>
        </w:tc>
        <w:tc>
          <w:tcPr>
            <w:tcW w:w="2235" w:type="dxa"/>
            <w:vAlign w:val="center"/>
          </w:tcPr>
          <w:p>
            <w:pPr>
              <w:widowControl/>
              <w:tabs>
                <w:tab w:val="center" w:pos="4153"/>
                <w:tab w:val="right" w:pos="8306"/>
              </w:tabs>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其中：属于按《新会区粮食生产安全实施方案》要求，今年挖潜新增的晚造水稻种植面积（亩）</w:t>
            </w:r>
          </w:p>
        </w:tc>
        <w:tc>
          <w:tcPr>
            <w:tcW w:w="1866" w:type="dxa"/>
            <w:vAlign w:val="center"/>
          </w:tcPr>
          <w:p>
            <w:pPr>
              <w:widowControl/>
              <w:tabs>
                <w:tab w:val="center" w:pos="4153"/>
                <w:tab w:val="right" w:pos="8306"/>
              </w:tabs>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同意为水稻病虫害统防统治面积（亩）</w:t>
            </w:r>
          </w:p>
        </w:tc>
        <w:tc>
          <w:tcPr>
            <w:tcW w:w="2791" w:type="dxa"/>
            <w:vAlign w:val="center"/>
          </w:tcPr>
          <w:p>
            <w:pPr>
              <w:widowControl/>
              <w:tabs>
                <w:tab w:val="center" w:pos="4153"/>
                <w:tab w:val="right" w:pos="8306"/>
              </w:tabs>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镇（街）农办是否与村委会与签订实施协议</w:t>
            </w:r>
          </w:p>
        </w:tc>
        <w:tc>
          <w:tcPr>
            <w:tcW w:w="216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0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539" w:type="dxa"/>
            <w:vAlign w:val="center"/>
          </w:tcPr>
          <w:p>
            <w:pPr>
              <w:jc w:val="center"/>
              <w:rPr>
                <w:rFonts w:hint="eastAsia" w:ascii="仿宋_GB2312" w:hAnsi="仿宋_GB2312" w:eastAsia="仿宋_GB2312" w:cs="仿宋_GB2312"/>
                <w:sz w:val="24"/>
                <w:szCs w:val="24"/>
              </w:rPr>
            </w:pPr>
          </w:p>
        </w:tc>
        <w:tc>
          <w:tcPr>
            <w:tcW w:w="1161" w:type="dxa"/>
            <w:vAlign w:val="center"/>
          </w:tcPr>
          <w:p>
            <w:pPr>
              <w:jc w:val="center"/>
              <w:rPr>
                <w:rFonts w:hint="eastAsia" w:ascii="仿宋_GB2312" w:hAnsi="仿宋_GB2312" w:eastAsia="仿宋_GB2312" w:cs="仿宋_GB2312"/>
                <w:sz w:val="24"/>
                <w:szCs w:val="24"/>
              </w:rPr>
            </w:pPr>
          </w:p>
        </w:tc>
        <w:tc>
          <w:tcPr>
            <w:tcW w:w="1162" w:type="dxa"/>
            <w:vAlign w:val="center"/>
          </w:tcPr>
          <w:p>
            <w:pPr>
              <w:jc w:val="center"/>
              <w:rPr>
                <w:rFonts w:hint="eastAsia" w:ascii="仿宋_GB2312" w:hAnsi="仿宋_GB2312" w:eastAsia="仿宋_GB2312" w:cs="仿宋_GB2312"/>
                <w:sz w:val="24"/>
                <w:szCs w:val="24"/>
              </w:rPr>
            </w:pPr>
          </w:p>
        </w:tc>
        <w:tc>
          <w:tcPr>
            <w:tcW w:w="2235" w:type="dxa"/>
            <w:vAlign w:val="center"/>
          </w:tcPr>
          <w:p>
            <w:pPr>
              <w:jc w:val="center"/>
              <w:rPr>
                <w:rFonts w:hint="eastAsia" w:ascii="仿宋_GB2312" w:hAnsi="仿宋_GB2312" w:eastAsia="仿宋_GB2312" w:cs="仿宋_GB2312"/>
                <w:sz w:val="24"/>
                <w:szCs w:val="24"/>
              </w:rPr>
            </w:pPr>
          </w:p>
        </w:tc>
        <w:tc>
          <w:tcPr>
            <w:tcW w:w="1866" w:type="dxa"/>
            <w:vAlign w:val="center"/>
          </w:tcPr>
          <w:p>
            <w:pPr>
              <w:jc w:val="center"/>
              <w:rPr>
                <w:rFonts w:hint="eastAsia" w:ascii="仿宋_GB2312" w:hAnsi="仿宋_GB2312" w:eastAsia="仿宋_GB2312" w:cs="仿宋_GB2312"/>
                <w:sz w:val="24"/>
                <w:szCs w:val="24"/>
              </w:rPr>
            </w:pPr>
          </w:p>
        </w:tc>
        <w:tc>
          <w:tcPr>
            <w:tcW w:w="2791" w:type="dxa"/>
            <w:vAlign w:val="center"/>
          </w:tcPr>
          <w:p>
            <w:pPr>
              <w:jc w:val="center"/>
              <w:rPr>
                <w:rFonts w:hint="eastAsia" w:ascii="仿宋_GB2312" w:hAnsi="仿宋_GB2312" w:eastAsia="仿宋_GB2312" w:cs="仿宋_GB2312"/>
                <w:sz w:val="24"/>
                <w:szCs w:val="24"/>
              </w:rPr>
            </w:pPr>
          </w:p>
        </w:tc>
        <w:tc>
          <w:tcPr>
            <w:tcW w:w="2162"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0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539" w:type="dxa"/>
            <w:vAlign w:val="center"/>
          </w:tcPr>
          <w:p>
            <w:pPr>
              <w:jc w:val="center"/>
              <w:rPr>
                <w:rFonts w:hint="eastAsia" w:ascii="仿宋_GB2312" w:hAnsi="仿宋_GB2312" w:eastAsia="仿宋_GB2312" w:cs="仿宋_GB2312"/>
                <w:sz w:val="24"/>
                <w:szCs w:val="24"/>
              </w:rPr>
            </w:pPr>
          </w:p>
        </w:tc>
        <w:tc>
          <w:tcPr>
            <w:tcW w:w="1161" w:type="dxa"/>
            <w:vAlign w:val="center"/>
          </w:tcPr>
          <w:p>
            <w:pPr>
              <w:jc w:val="center"/>
              <w:rPr>
                <w:rFonts w:hint="eastAsia" w:ascii="仿宋_GB2312" w:hAnsi="仿宋_GB2312" w:eastAsia="仿宋_GB2312" w:cs="仿宋_GB2312"/>
                <w:sz w:val="24"/>
                <w:szCs w:val="24"/>
              </w:rPr>
            </w:pPr>
          </w:p>
        </w:tc>
        <w:tc>
          <w:tcPr>
            <w:tcW w:w="1162" w:type="dxa"/>
            <w:vAlign w:val="center"/>
          </w:tcPr>
          <w:p>
            <w:pPr>
              <w:jc w:val="center"/>
              <w:rPr>
                <w:rFonts w:hint="eastAsia" w:ascii="仿宋_GB2312" w:hAnsi="仿宋_GB2312" w:eastAsia="仿宋_GB2312" w:cs="仿宋_GB2312"/>
                <w:sz w:val="24"/>
                <w:szCs w:val="24"/>
              </w:rPr>
            </w:pPr>
          </w:p>
        </w:tc>
        <w:tc>
          <w:tcPr>
            <w:tcW w:w="2235" w:type="dxa"/>
            <w:vAlign w:val="center"/>
          </w:tcPr>
          <w:p>
            <w:pPr>
              <w:jc w:val="center"/>
              <w:rPr>
                <w:rFonts w:hint="eastAsia" w:ascii="仿宋_GB2312" w:hAnsi="仿宋_GB2312" w:eastAsia="仿宋_GB2312" w:cs="仿宋_GB2312"/>
                <w:sz w:val="24"/>
                <w:szCs w:val="24"/>
              </w:rPr>
            </w:pPr>
          </w:p>
        </w:tc>
        <w:tc>
          <w:tcPr>
            <w:tcW w:w="1866" w:type="dxa"/>
            <w:vAlign w:val="center"/>
          </w:tcPr>
          <w:p>
            <w:pPr>
              <w:jc w:val="center"/>
              <w:rPr>
                <w:rFonts w:hint="eastAsia" w:ascii="仿宋_GB2312" w:hAnsi="仿宋_GB2312" w:eastAsia="仿宋_GB2312" w:cs="仿宋_GB2312"/>
                <w:sz w:val="24"/>
                <w:szCs w:val="24"/>
              </w:rPr>
            </w:pPr>
          </w:p>
        </w:tc>
        <w:tc>
          <w:tcPr>
            <w:tcW w:w="2791" w:type="dxa"/>
            <w:vAlign w:val="center"/>
          </w:tcPr>
          <w:p>
            <w:pPr>
              <w:jc w:val="center"/>
              <w:rPr>
                <w:rFonts w:hint="eastAsia" w:ascii="仿宋_GB2312" w:hAnsi="仿宋_GB2312" w:eastAsia="仿宋_GB2312" w:cs="仿宋_GB2312"/>
                <w:sz w:val="24"/>
                <w:szCs w:val="24"/>
              </w:rPr>
            </w:pPr>
          </w:p>
        </w:tc>
        <w:tc>
          <w:tcPr>
            <w:tcW w:w="2162"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0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539" w:type="dxa"/>
            <w:vAlign w:val="center"/>
          </w:tcPr>
          <w:p>
            <w:pPr>
              <w:jc w:val="center"/>
              <w:rPr>
                <w:rFonts w:hint="eastAsia" w:ascii="仿宋_GB2312" w:hAnsi="仿宋_GB2312" w:eastAsia="仿宋_GB2312" w:cs="仿宋_GB2312"/>
                <w:sz w:val="24"/>
                <w:szCs w:val="24"/>
              </w:rPr>
            </w:pPr>
          </w:p>
        </w:tc>
        <w:tc>
          <w:tcPr>
            <w:tcW w:w="1161" w:type="dxa"/>
            <w:vAlign w:val="center"/>
          </w:tcPr>
          <w:p>
            <w:pPr>
              <w:jc w:val="center"/>
              <w:rPr>
                <w:rFonts w:hint="eastAsia" w:ascii="仿宋_GB2312" w:hAnsi="仿宋_GB2312" w:eastAsia="仿宋_GB2312" w:cs="仿宋_GB2312"/>
                <w:sz w:val="24"/>
                <w:szCs w:val="24"/>
              </w:rPr>
            </w:pPr>
          </w:p>
        </w:tc>
        <w:tc>
          <w:tcPr>
            <w:tcW w:w="1162" w:type="dxa"/>
            <w:vAlign w:val="center"/>
          </w:tcPr>
          <w:p>
            <w:pPr>
              <w:jc w:val="center"/>
              <w:rPr>
                <w:rFonts w:hint="eastAsia" w:ascii="仿宋_GB2312" w:hAnsi="仿宋_GB2312" w:eastAsia="仿宋_GB2312" w:cs="仿宋_GB2312"/>
                <w:sz w:val="24"/>
                <w:szCs w:val="24"/>
              </w:rPr>
            </w:pPr>
          </w:p>
        </w:tc>
        <w:tc>
          <w:tcPr>
            <w:tcW w:w="2235" w:type="dxa"/>
            <w:vAlign w:val="center"/>
          </w:tcPr>
          <w:p>
            <w:pPr>
              <w:jc w:val="center"/>
              <w:rPr>
                <w:rFonts w:hint="eastAsia" w:ascii="仿宋_GB2312" w:hAnsi="仿宋_GB2312" w:eastAsia="仿宋_GB2312" w:cs="仿宋_GB2312"/>
                <w:sz w:val="24"/>
                <w:szCs w:val="24"/>
              </w:rPr>
            </w:pPr>
          </w:p>
        </w:tc>
        <w:tc>
          <w:tcPr>
            <w:tcW w:w="1866" w:type="dxa"/>
            <w:vAlign w:val="center"/>
          </w:tcPr>
          <w:p>
            <w:pPr>
              <w:jc w:val="center"/>
              <w:rPr>
                <w:rFonts w:hint="eastAsia" w:ascii="仿宋_GB2312" w:hAnsi="仿宋_GB2312" w:eastAsia="仿宋_GB2312" w:cs="仿宋_GB2312"/>
                <w:sz w:val="24"/>
                <w:szCs w:val="24"/>
              </w:rPr>
            </w:pPr>
          </w:p>
        </w:tc>
        <w:tc>
          <w:tcPr>
            <w:tcW w:w="2791" w:type="dxa"/>
            <w:vAlign w:val="center"/>
          </w:tcPr>
          <w:p>
            <w:pPr>
              <w:jc w:val="center"/>
              <w:rPr>
                <w:rFonts w:hint="eastAsia" w:ascii="仿宋_GB2312" w:hAnsi="仿宋_GB2312" w:eastAsia="仿宋_GB2312" w:cs="仿宋_GB2312"/>
                <w:sz w:val="24"/>
                <w:szCs w:val="24"/>
              </w:rPr>
            </w:pPr>
          </w:p>
        </w:tc>
        <w:tc>
          <w:tcPr>
            <w:tcW w:w="2162"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0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539" w:type="dxa"/>
            <w:vAlign w:val="center"/>
          </w:tcPr>
          <w:p>
            <w:pPr>
              <w:jc w:val="center"/>
              <w:rPr>
                <w:rFonts w:hint="eastAsia" w:ascii="仿宋_GB2312" w:hAnsi="仿宋_GB2312" w:eastAsia="仿宋_GB2312" w:cs="仿宋_GB2312"/>
                <w:sz w:val="24"/>
                <w:szCs w:val="24"/>
              </w:rPr>
            </w:pPr>
          </w:p>
        </w:tc>
        <w:tc>
          <w:tcPr>
            <w:tcW w:w="1161" w:type="dxa"/>
            <w:vAlign w:val="center"/>
          </w:tcPr>
          <w:p>
            <w:pPr>
              <w:jc w:val="center"/>
              <w:rPr>
                <w:rFonts w:hint="eastAsia" w:ascii="仿宋_GB2312" w:hAnsi="仿宋_GB2312" w:eastAsia="仿宋_GB2312" w:cs="仿宋_GB2312"/>
                <w:sz w:val="24"/>
                <w:szCs w:val="24"/>
              </w:rPr>
            </w:pPr>
          </w:p>
        </w:tc>
        <w:tc>
          <w:tcPr>
            <w:tcW w:w="1162" w:type="dxa"/>
            <w:vAlign w:val="center"/>
          </w:tcPr>
          <w:p>
            <w:pPr>
              <w:jc w:val="center"/>
              <w:rPr>
                <w:rFonts w:hint="eastAsia" w:ascii="仿宋_GB2312" w:hAnsi="仿宋_GB2312" w:eastAsia="仿宋_GB2312" w:cs="仿宋_GB2312"/>
                <w:sz w:val="24"/>
                <w:szCs w:val="24"/>
              </w:rPr>
            </w:pPr>
          </w:p>
        </w:tc>
        <w:tc>
          <w:tcPr>
            <w:tcW w:w="2235" w:type="dxa"/>
            <w:vAlign w:val="center"/>
          </w:tcPr>
          <w:p>
            <w:pPr>
              <w:jc w:val="center"/>
              <w:rPr>
                <w:rFonts w:hint="eastAsia" w:ascii="仿宋_GB2312" w:hAnsi="仿宋_GB2312" w:eastAsia="仿宋_GB2312" w:cs="仿宋_GB2312"/>
                <w:sz w:val="24"/>
                <w:szCs w:val="24"/>
              </w:rPr>
            </w:pPr>
          </w:p>
        </w:tc>
        <w:tc>
          <w:tcPr>
            <w:tcW w:w="1866" w:type="dxa"/>
            <w:vAlign w:val="center"/>
          </w:tcPr>
          <w:p>
            <w:pPr>
              <w:jc w:val="center"/>
              <w:rPr>
                <w:rFonts w:hint="eastAsia" w:ascii="仿宋_GB2312" w:hAnsi="仿宋_GB2312" w:eastAsia="仿宋_GB2312" w:cs="仿宋_GB2312"/>
                <w:sz w:val="24"/>
                <w:szCs w:val="24"/>
              </w:rPr>
            </w:pPr>
          </w:p>
        </w:tc>
        <w:tc>
          <w:tcPr>
            <w:tcW w:w="2791" w:type="dxa"/>
            <w:vAlign w:val="center"/>
          </w:tcPr>
          <w:p>
            <w:pPr>
              <w:jc w:val="center"/>
              <w:rPr>
                <w:rFonts w:hint="eastAsia" w:ascii="仿宋_GB2312" w:hAnsi="仿宋_GB2312" w:eastAsia="仿宋_GB2312" w:cs="仿宋_GB2312"/>
                <w:sz w:val="24"/>
                <w:szCs w:val="24"/>
              </w:rPr>
            </w:pPr>
          </w:p>
        </w:tc>
        <w:tc>
          <w:tcPr>
            <w:tcW w:w="2162"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90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539" w:type="dxa"/>
            <w:vAlign w:val="center"/>
          </w:tcPr>
          <w:p>
            <w:pPr>
              <w:jc w:val="center"/>
              <w:rPr>
                <w:rFonts w:hint="eastAsia" w:ascii="仿宋_GB2312" w:hAnsi="仿宋_GB2312" w:eastAsia="仿宋_GB2312" w:cs="仿宋_GB2312"/>
                <w:sz w:val="24"/>
                <w:szCs w:val="24"/>
              </w:rPr>
            </w:pPr>
          </w:p>
        </w:tc>
        <w:tc>
          <w:tcPr>
            <w:tcW w:w="1161" w:type="dxa"/>
            <w:vAlign w:val="center"/>
          </w:tcPr>
          <w:p>
            <w:pPr>
              <w:jc w:val="center"/>
              <w:rPr>
                <w:rFonts w:hint="eastAsia" w:ascii="仿宋_GB2312" w:hAnsi="仿宋_GB2312" w:eastAsia="仿宋_GB2312" w:cs="仿宋_GB2312"/>
                <w:sz w:val="24"/>
                <w:szCs w:val="24"/>
              </w:rPr>
            </w:pPr>
          </w:p>
        </w:tc>
        <w:tc>
          <w:tcPr>
            <w:tcW w:w="1162" w:type="dxa"/>
            <w:vAlign w:val="center"/>
          </w:tcPr>
          <w:p>
            <w:pPr>
              <w:jc w:val="center"/>
              <w:rPr>
                <w:rFonts w:hint="eastAsia" w:ascii="仿宋_GB2312" w:hAnsi="仿宋_GB2312" w:eastAsia="仿宋_GB2312" w:cs="仿宋_GB2312"/>
                <w:sz w:val="24"/>
                <w:szCs w:val="24"/>
              </w:rPr>
            </w:pPr>
          </w:p>
        </w:tc>
        <w:tc>
          <w:tcPr>
            <w:tcW w:w="2235" w:type="dxa"/>
            <w:vAlign w:val="center"/>
          </w:tcPr>
          <w:p>
            <w:pPr>
              <w:jc w:val="center"/>
              <w:rPr>
                <w:rFonts w:hint="eastAsia" w:ascii="仿宋_GB2312" w:hAnsi="仿宋_GB2312" w:eastAsia="仿宋_GB2312" w:cs="仿宋_GB2312"/>
                <w:sz w:val="24"/>
                <w:szCs w:val="24"/>
              </w:rPr>
            </w:pPr>
          </w:p>
        </w:tc>
        <w:tc>
          <w:tcPr>
            <w:tcW w:w="1866" w:type="dxa"/>
            <w:vAlign w:val="center"/>
          </w:tcPr>
          <w:p>
            <w:pPr>
              <w:jc w:val="center"/>
              <w:rPr>
                <w:rFonts w:hint="eastAsia" w:ascii="仿宋_GB2312" w:hAnsi="仿宋_GB2312" w:eastAsia="仿宋_GB2312" w:cs="仿宋_GB2312"/>
                <w:sz w:val="24"/>
                <w:szCs w:val="24"/>
              </w:rPr>
            </w:pPr>
          </w:p>
        </w:tc>
        <w:tc>
          <w:tcPr>
            <w:tcW w:w="2791" w:type="dxa"/>
            <w:vAlign w:val="center"/>
          </w:tcPr>
          <w:p>
            <w:pPr>
              <w:jc w:val="center"/>
              <w:rPr>
                <w:rFonts w:hint="eastAsia" w:ascii="仿宋_GB2312" w:hAnsi="仿宋_GB2312" w:eastAsia="仿宋_GB2312" w:cs="仿宋_GB2312"/>
                <w:sz w:val="24"/>
                <w:szCs w:val="24"/>
              </w:rPr>
            </w:pPr>
          </w:p>
        </w:tc>
        <w:tc>
          <w:tcPr>
            <w:tcW w:w="2162"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90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1539"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全镇合计</w:t>
            </w:r>
          </w:p>
        </w:tc>
        <w:tc>
          <w:tcPr>
            <w:tcW w:w="1161" w:type="dxa"/>
            <w:vAlign w:val="center"/>
          </w:tcPr>
          <w:p>
            <w:pPr>
              <w:jc w:val="center"/>
              <w:rPr>
                <w:rFonts w:hint="eastAsia" w:ascii="仿宋_GB2312" w:hAnsi="仿宋_GB2312" w:eastAsia="仿宋_GB2312" w:cs="仿宋_GB2312"/>
                <w:sz w:val="24"/>
                <w:szCs w:val="24"/>
              </w:rPr>
            </w:pPr>
          </w:p>
        </w:tc>
        <w:tc>
          <w:tcPr>
            <w:tcW w:w="1162" w:type="dxa"/>
            <w:vAlign w:val="center"/>
          </w:tcPr>
          <w:p>
            <w:pPr>
              <w:jc w:val="center"/>
              <w:rPr>
                <w:rFonts w:hint="eastAsia" w:ascii="仿宋_GB2312" w:hAnsi="仿宋_GB2312" w:eastAsia="仿宋_GB2312" w:cs="仿宋_GB2312"/>
                <w:sz w:val="24"/>
                <w:szCs w:val="24"/>
              </w:rPr>
            </w:pPr>
          </w:p>
        </w:tc>
        <w:tc>
          <w:tcPr>
            <w:tcW w:w="2235" w:type="dxa"/>
            <w:vAlign w:val="center"/>
          </w:tcPr>
          <w:p>
            <w:pPr>
              <w:jc w:val="center"/>
              <w:rPr>
                <w:rFonts w:hint="eastAsia" w:ascii="仿宋_GB2312" w:hAnsi="仿宋_GB2312" w:eastAsia="仿宋_GB2312" w:cs="仿宋_GB2312"/>
                <w:sz w:val="24"/>
                <w:szCs w:val="24"/>
              </w:rPr>
            </w:pPr>
          </w:p>
        </w:tc>
        <w:tc>
          <w:tcPr>
            <w:tcW w:w="1866" w:type="dxa"/>
            <w:vAlign w:val="center"/>
          </w:tcPr>
          <w:p>
            <w:pPr>
              <w:jc w:val="center"/>
              <w:rPr>
                <w:rFonts w:hint="eastAsia" w:ascii="仿宋_GB2312" w:hAnsi="仿宋_GB2312" w:eastAsia="仿宋_GB2312" w:cs="仿宋_GB2312"/>
                <w:sz w:val="24"/>
                <w:szCs w:val="24"/>
              </w:rPr>
            </w:pPr>
          </w:p>
        </w:tc>
        <w:tc>
          <w:tcPr>
            <w:tcW w:w="2791" w:type="dxa"/>
            <w:vAlign w:val="center"/>
          </w:tcPr>
          <w:p>
            <w:pPr>
              <w:jc w:val="center"/>
              <w:rPr>
                <w:rFonts w:hint="eastAsia" w:ascii="仿宋_GB2312" w:hAnsi="仿宋_GB2312" w:eastAsia="仿宋_GB2312" w:cs="仿宋_GB2312"/>
                <w:sz w:val="24"/>
                <w:szCs w:val="24"/>
              </w:rPr>
            </w:pPr>
          </w:p>
        </w:tc>
        <w:tc>
          <w:tcPr>
            <w:tcW w:w="2162" w:type="dxa"/>
            <w:vAlign w:val="center"/>
          </w:tcPr>
          <w:p>
            <w:pPr>
              <w:jc w:val="center"/>
              <w:rPr>
                <w:rFonts w:hint="eastAsia" w:ascii="仿宋_GB2312" w:hAnsi="仿宋_GB2312" w:eastAsia="仿宋_GB2312" w:cs="仿宋_GB2312"/>
                <w:sz w:val="24"/>
                <w:szCs w:val="24"/>
              </w:rPr>
            </w:pPr>
          </w:p>
        </w:tc>
      </w:tr>
    </w:tbl>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经办人签字：              镇（街）农办主任签字：               分管领导签字：</w:t>
      </w:r>
    </w:p>
    <w:p>
      <w:pPr>
        <w:jc w:val="left"/>
        <w:rPr>
          <w:rFonts w:hint="eastAsia" w:ascii="仿宋_GB2312" w:hAnsi="仿宋_GB2312" w:eastAsia="仿宋_GB2312" w:cs="仿宋_GB2312"/>
          <w:sz w:val="32"/>
          <w:szCs w:val="32"/>
        </w:rPr>
        <w:sectPr>
          <w:pgSz w:w="16838" w:h="11906" w:orient="landscape"/>
          <w:pgMar w:top="1803" w:right="1440" w:bottom="1803" w:left="1440" w:header="851" w:footer="992" w:gutter="0"/>
          <w:pgNumType w:fmt="decimal"/>
          <w:cols w:space="0" w:num="1"/>
          <w:docGrid w:type="lines" w:linePitch="319" w:charSpace="0"/>
        </w:sectPr>
      </w:pP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附件3</w:t>
      </w:r>
    </w:p>
    <w:p>
      <w:pPr>
        <w:adjustRightInd w:val="0"/>
        <w:snapToGrid w:val="0"/>
        <w:spacing w:line="59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2022年新会区水稻病虫害统防统治项目</w:t>
      </w:r>
    </w:p>
    <w:p>
      <w:pPr>
        <w:adjustRightInd w:val="0"/>
        <w:snapToGrid w:val="0"/>
        <w:spacing w:line="59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实施协议</w:t>
      </w:r>
    </w:p>
    <w:p>
      <w:pPr>
        <w:adjustRightInd w:val="0"/>
        <w:snapToGrid w:val="0"/>
        <w:spacing w:line="590" w:lineRule="exact"/>
        <w:jc w:val="center"/>
        <w:rPr>
          <w:rFonts w:ascii="仿宋" w:hAnsi="仿宋" w:eastAsia="仿宋" w:cs="仿宋"/>
          <w:sz w:val="32"/>
          <w:szCs w:val="32"/>
        </w:rPr>
      </w:pPr>
      <w:r>
        <w:rPr>
          <w:rFonts w:hint="eastAsia" w:ascii="仿宋" w:hAnsi="仿宋" w:eastAsia="仿宋" w:cs="仿宋"/>
          <w:sz w:val="32"/>
          <w:szCs w:val="32"/>
        </w:rPr>
        <w:t>（参考样本）</w:t>
      </w:r>
    </w:p>
    <w:p>
      <w:pPr>
        <w:adjustRightInd w:val="0"/>
        <w:snapToGrid w:val="0"/>
        <w:spacing w:line="590" w:lineRule="exact"/>
        <w:jc w:val="center"/>
        <w:rPr>
          <w:rFonts w:ascii="仿宋" w:hAnsi="仿宋" w:eastAsia="仿宋" w:cs="仿宋"/>
          <w:sz w:val="32"/>
          <w:szCs w:val="32"/>
        </w:rPr>
      </w:pPr>
    </w:p>
    <w:p>
      <w:pPr>
        <w:adjustRightInd w:val="0"/>
        <w:snapToGrid w:val="0"/>
        <w:spacing w:line="59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镇（街）农业农村办公室</w:t>
      </w:r>
    </w:p>
    <w:p>
      <w:pPr>
        <w:adjustRightInd w:val="0"/>
        <w:snapToGrid w:val="0"/>
        <w:spacing w:line="59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村委会（含参与农户）</w:t>
      </w:r>
    </w:p>
    <w:p>
      <w:pPr>
        <w:adjustRightInd w:val="0"/>
        <w:snapToGrid w:val="0"/>
        <w:spacing w:line="590" w:lineRule="exact"/>
        <w:rPr>
          <w:rFonts w:hint="eastAsia" w:ascii="仿宋_GB2312" w:hAnsi="仿宋_GB2312" w:eastAsia="仿宋_GB2312" w:cs="仿宋_GB2312"/>
          <w:sz w:val="32"/>
          <w:szCs w:val="32"/>
        </w:rPr>
      </w:pPr>
    </w:p>
    <w:p>
      <w:pPr>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为切实实施好2022年新会区水稻病虫害统防统治项目，按《新会区2022年省级水稻病虫害统防统治项目实施方案》等要求，结合实际，经甲乙双方商议，协议如下：</w:t>
      </w:r>
    </w:p>
    <w:p>
      <w:pPr>
        <w:adjustRightInd w:val="0"/>
        <w:snapToGrid w:val="0"/>
        <w:spacing w:line="590" w:lineRule="exact"/>
        <w:ind w:firstLine="640" w:firstLineChars="200"/>
        <w:jc w:val="left"/>
        <w:rPr>
          <w:rFonts w:hint="eastAsia" w:ascii="仿宋_GB2312" w:hAnsi="仿宋_GB2312" w:eastAsia="仿宋_GB2312" w:cs="仿宋_GB2312"/>
          <w:b/>
          <w:sz w:val="32"/>
          <w:szCs w:val="32"/>
          <w:highlight w:val="none"/>
        </w:rPr>
      </w:pPr>
      <w:r>
        <w:rPr>
          <w:rFonts w:hint="eastAsia" w:ascii="仿宋_GB2312" w:hAnsi="仿宋_GB2312" w:eastAsia="仿宋_GB2312" w:cs="仿宋_GB2312"/>
          <w:sz w:val="32"/>
          <w:szCs w:val="32"/>
        </w:rPr>
        <w:t>一、实施面积与区域。乙方自愿参加2022年新会区水稻病虫害统防统治项目，同意将本村2022年晚造共</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亩水稻面积进行2022年新会区水稻病虫害统防统治项目的</w:t>
      </w:r>
      <w:r>
        <w:rPr>
          <w:rFonts w:hint="eastAsia" w:ascii="仿宋_GB2312" w:hAnsi="仿宋_GB2312" w:eastAsia="仿宋_GB2312" w:cs="仿宋_GB2312"/>
          <w:sz w:val="32"/>
          <w:szCs w:val="32"/>
          <w:u w:val="single"/>
        </w:rPr>
        <w:t>社会化服务</w:t>
      </w:r>
      <w:r>
        <w:rPr>
          <w:rFonts w:hint="eastAsia" w:ascii="仿宋_GB2312" w:hAnsi="仿宋_GB2312" w:eastAsia="仿宋_GB2312" w:cs="仿宋_GB2312"/>
          <w:sz w:val="32"/>
          <w:szCs w:val="32"/>
        </w:rPr>
        <w:t>，涉及参与</w:t>
      </w:r>
      <w:r>
        <w:rPr>
          <w:rFonts w:hint="eastAsia" w:ascii="仿宋_GB2312" w:hAnsi="仿宋_GB2312" w:eastAsia="仿宋_GB2312" w:cs="仿宋_GB2312"/>
          <w:sz w:val="32"/>
          <w:szCs w:val="32"/>
          <w:highlight w:val="none"/>
        </w:rPr>
        <w:t>农户共</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户。详见《2022年新会区水稻病虫害统防统治项目</w:t>
      </w:r>
      <w:r>
        <w:rPr>
          <w:rFonts w:hint="eastAsia" w:ascii="仿宋_GB2312" w:hAnsi="仿宋_GB2312" w:eastAsia="仿宋_GB2312" w:cs="仿宋_GB2312"/>
          <w:sz w:val="32"/>
          <w:szCs w:val="32"/>
          <w:highlight w:val="none"/>
          <w:lang w:eastAsia="zh-CN"/>
        </w:rPr>
        <w:t>遴选参与农户</w:t>
      </w:r>
      <w:r>
        <w:rPr>
          <w:rFonts w:hint="eastAsia" w:ascii="仿宋_GB2312" w:hAnsi="仿宋_GB2312" w:eastAsia="仿宋_GB2312" w:cs="仿宋_GB2312"/>
          <w:sz w:val="32"/>
          <w:szCs w:val="32"/>
          <w:highlight w:val="none"/>
        </w:rPr>
        <w:t>清册》。</w:t>
      </w:r>
    </w:p>
    <w:p>
      <w:pPr>
        <w:adjustRightInd w:val="0"/>
        <w:snapToGrid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二、实施期限。</w:t>
      </w:r>
      <w:r>
        <w:rPr>
          <w:rFonts w:hint="eastAsia" w:ascii="仿宋_GB2312" w:hAnsi="仿宋_GB2312" w:eastAsia="仿宋_GB2312" w:cs="仿宋_GB2312"/>
          <w:kern w:val="0"/>
          <w:sz w:val="32"/>
          <w:szCs w:val="32"/>
          <w:highlight w:val="none"/>
        </w:rPr>
        <w:t>2022晚造（2022年8月至11</w:t>
      </w:r>
      <w:r>
        <w:rPr>
          <w:rFonts w:hint="eastAsia" w:ascii="仿宋_GB2312" w:hAnsi="仿宋_GB2312" w:eastAsia="仿宋_GB2312" w:cs="仿宋_GB2312"/>
          <w:kern w:val="0"/>
          <w:sz w:val="32"/>
          <w:szCs w:val="32"/>
        </w:rPr>
        <w:t>月）。</w:t>
      </w:r>
    </w:p>
    <w:p>
      <w:pPr>
        <w:adjustRightInd w:val="0"/>
        <w:snapToGrid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三、实施方式。</w:t>
      </w:r>
    </w:p>
    <w:p>
      <w:pPr>
        <w:adjustRightInd w:val="0"/>
        <w:snapToGrid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（一）在项目实施过程中，乙方同意由区农业农村局确定的中标供应商，按《新会区2022年省级水稻病虫害统防统治项目实施方案》和社会化服务事项指标，对乙方开展社会化服务。</w:t>
      </w:r>
    </w:p>
    <w:p>
      <w:pPr>
        <w:adjustRightInd w:val="0"/>
        <w:snapToGrid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（二）乙方同意配合甲方和中标供应商推进项目建设。</w:t>
      </w:r>
    </w:p>
    <w:p>
      <w:pPr>
        <w:adjustRightInd w:val="0"/>
        <w:snapToGrid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（三）乙方同意与甲方和中标供应商，围绕“农药减量增效”的原则共同商定防控药剂，</w:t>
      </w:r>
    </w:p>
    <w:p>
      <w:pPr>
        <w:adjustRightInd w:val="0"/>
        <w:snapToGrid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四、本协议自甲乙双方签字或盖章之日起生效。项目实施期间因国家政策发生重大变化或调整导致不能执行本协议的，本协议自然终止或解除。</w:t>
      </w:r>
    </w:p>
    <w:p>
      <w:pPr>
        <w:adjustRightInd w:val="0"/>
        <w:snapToGrid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五、本协议一式六份，甲方、乙方各执</w:t>
      </w:r>
      <w:r>
        <w:rPr>
          <w:rFonts w:hint="eastAsia" w:ascii="仿宋_GB2312" w:hAnsi="仿宋_GB2312" w:eastAsia="仿宋_GB2312" w:cs="仿宋_GB2312"/>
          <w:sz w:val="32"/>
          <w:szCs w:val="32"/>
          <w:u w:val="single"/>
        </w:rPr>
        <w:t>1</w:t>
      </w:r>
      <w:r>
        <w:rPr>
          <w:rFonts w:hint="eastAsia" w:ascii="仿宋_GB2312" w:hAnsi="仿宋_GB2312" w:eastAsia="仿宋_GB2312" w:cs="仿宋_GB2312"/>
          <w:sz w:val="32"/>
          <w:szCs w:val="32"/>
        </w:rPr>
        <w:t>份，协议文本在本村、镇（街）、中标供应商和区农业农村局存档备查。</w:t>
      </w:r>
    </w:p>
    <w:p>
      <w:pPr>
        <w:adjustRightInd w:val="0"/>
        <w:snapToGrid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六、未尽事宜，甲乙双方协商解决。</w:t>
      </w:r>
    </w:p>
    <w:p>
      <w:pPr>
        <w:adjustRightInd w:val="0"/>
        <w:snapToGrid w:val="0"/>
        <w:spacing w:line="590" w:lineRule="exact"/>
        <w:rPr>
          <w:rFonts w:hint="eastAsia" w:ascii="仿宋_GB2312" w:hAnsi="仿宋_GB2312" w:eastAsia="仿宋_GB2312" w:cs="仿宋_GB2312"/>
          <w:sz w:val="32"/>
          <w:szCs w:val="32"/>
        </w:rPr>
      </w:pPr>
    </w:p>
    <w:p>
      <w:pPr>
        <w:adjustRightInd w:val="0"/>
        <w:snapToGrid w:val="0"/>
        <w:spacing w:line="590" w:lineRule="exact"/>
        <w:rPr>
          <w:rFonts w:hint="eastAsia" w:ascii="仿宋_GB2312" w:hAnsi="仿宋_GB2312" w:eastAsia="仿宋_GB2312" w:cs="仿宋_GB2312"/>
          <w:sz w:val="32"/>
          <w:szCs w:val="32"/>
        </w:rPr>
      </w:pPr>
    </w:p>
    <w:p>
      <w:pPr>
        <w:adjustRightInd w:val="0"/>
        <w:snapToGrid w:val="0"/>
        <w:spacing w:line="590" w:lineRule="exact"/>
        <w:rPr>
          <w:rFonts w:hint="eastAsia" w:ascii="仿宋_GB2312" w:hAnsi="仿宋_GB2312" w:eastAsia="仿宋_GB2312" w:cs="仿宋_GB2312"/>
          <w:sz w:val="32"/>
          <w:szCs w:val="32"/>
        </w:rPr>
      </w:pPr>
    </w:p>
    <w:p>
      <w:pPr>
        <w:adjustRightInd w:val="0"/>
        <w:snapToGrid w:val="0"/>
        <w:spacing w:line="59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甲方：（盖章）                 乙方：（盖章）</w:t>
      </w:r>
    </w:p>
    <w:p>
      <w:pPr>
        <w:adjustRightInd w:val="0"/>
        <w:snapToGrid w:val="0"/>
        <w:spacing w:line="590" w:lineRule="exact"/>
        <w:ind w:left="5120" w:hanging="5120" w:hangingChars="1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甲方主任签名：                乙方村主任签名：</w:t>
      </w:r>
    </w:p>
    <w:p>
      <w:pPr>
        <w:adjustRightInd w:val="0"/>
        <w:snapToGrid w:val="0"/>
        <w:spacing w:line="590" w:lineRule="exact"/>
        <w:rPr>
          <w:rFonts w:hint="eastAsia" w:ascii="仿宋_GB2312" w:hAnsi="仿宋_GB2312" w:eastAsia="仿宋_GB2312" w:cs="仿宋_GB2312"/>
          <w:sz w:val="32"/>
          <w:szCs w:val="32"/>
        </w:rPr>
      </w:pPr>
    </w:p>
    <w:p>
      <w:pPr>
        <w:adjustRightInd w:val="0"/>
        <w:snapToGrid w:val="0"/>
        <w:spacing w:line="590" w:lineRule="exact"/>
        <w:rPr>
          <w:rFonts w:ascii="仿宋" w:hAnsi="仿宋" w:eastAsia="仿宋" w:cs="仿宋"/>
          <w:sz w:val="32"/>
          <w:szCs w:val="32"/>
        </w:rPr>
      </w:pPr>
    </w:p>
    <w:p>
      <w:pPr>
        <w:adjustRightInd w:val="0"/>
        <w:snapToGrid w:val="0"/>
        <w:spacing w:line="590" w:lineRule="exact"/>
        <w:rPr>
          <w:rFonts w:ascii="仿宋" w:hAnsi="仿宋" w:eastAsia="仿宋" w:cs="仿宋"/>
          <w:sz w:val="32"/>
          <w:szCs w:val="32"/>
        </w:rPr>
      </w:pPr>
    </w:p>
    <w:p>
      <w:pPr>
        <w:adjustRightInd w:val="0"/>
        <w:snapToGrid w:val="0"/>
        <w:spacing w:line="590" w:lineRule="exact"/>
        <w:rPr>
          <w:rFonts w:ascii="仿宋" w:hAnsi="仿宋" w:eastAsia="仿宋" w:cs="仿宋"/>
          <w:sz w:val="32"/>
          <w:szCs w:val="32"/>
        </w:rPr>
      </w:pPr>
      <w:r>
        <w:rPr>
          <w:rFonts w:hint="eastAsia" w:ascii="仿宋" w:hAnsi="仿宋" w:eastAsia="仿宋" w:cs="仿宋"/>
          <w:sz w:val="32"/>
          <w:szCs w:val="32"/>
        </w:rPr>
        <w:t>日期：                        日期：</w:t>
      </w:r>
    </w:p>
    <w:p>
      <w:pPr>
        <w:widowControl/>
        <w:shd w:val="clear" w:color="auto" w:fill="FFFFFF"/>
        <w:spacing w:line="450" w:lineRule="atLeast"/>
        <w:jc w:val="left"/>
        <w:rPr>
          <w:rFonts w:ascii="仿宋" w:hAnsi="仿宋" w:eastAsia="仿宋" w:cs="仿宋"/>
          <w:kern w:val="0"/>
          <w:sz w:val="32"/>
          <w:szCs w:val="32"/>
        </w:rPr>
      </w:pPr>
    </w:p>
    <w:p>
      <w:pPr>
        <w:pStyle w:val="3"/>
        <w:rPr>
          <w:rFonts w:ascii="仿宋" w:hAnsi="仿宋" w:eastAsia="仿宋" w:cs="仿宋"/>
          <w:sz w:val="32"/>
          <w:szCs w:val="32"/>
        </w:rPr>
      </w:pPr>
    </w:p>
    <w:p>
      <w:pPr>
        <w:pStyle w:val="3"/>
        <w:ind w:firstLine="640" w:firstLineChars="200"/>
        <w:rPr>
          <w:rFonts w:ascii="仿宋_GB2312" w:hAnsi="仿宋" w:eastAsia="仿宋_GB2312" w:cs="仿宋"/>
          <w:sz w:val="32"/>
          <w:szCs w:val="32"/>
        </w:rPr>
      </w:pPr>
    </w:p>
    <w:p>
      <w:pPr>
        <w:pStyle w:val="3"/>
        <w:rPr>
          <w:rFonts w:ascii="仿宋_GB2312" w:hAnsi="仿宋" w:eastAsia="仿宋_GB2312" w:cs="仿宋"/>
          <w:sz w:val="32"/>
          <w:szCs w:val="32"/>
        </w:rPr>
      </w:pPr>
    </w:p>
    <w:p>
      <w:pPr>
        <w:pStyle w:val="3"/>
        <w:rPr>
          <w:rFonts w:ascii="仿宋_GB2312" w:hAnsi="仿宋" w:eastAsia="仿宋_GB2312" w:cs="仿宋"/>
          <w:sz w:val="32"/>
          <w:szCs w:val="32"/>
        </w:rPr>
      </w:pPr>
    </w:p>
    <w:p>
      <w:pPr>
        <w:rPr>
          <w:rFonts w:ascii="仿宋" w:hAnsi="仿宋" w:eastAsia="仿宋" w:cs="仿宋"/>
          <w:sz w:val="32"/>
          <w:szCs w:val="32"/>
        </w:rPr>
        <w:sectPr>
          <w:pgSz w:w="11906" w:h="16838"/>
          <w:pgMar w:top="1440" w:right="1803" w:bottom="1440" w:left="1803" w:header="851" w:footer="992" w:gutter="0"/>
          <w:pgNumType w:fmt="decimal"/>
          <w:cols w:space="0" w:num="1"/>
          <w:docGrid w:type="lines" w:linePitch="319" w:charSpace="0"/>
        </w:sectPr>
      </w:pP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附件4</w:t>
      </w:r>
    </w:p>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本项目区的水稻病虫灾害损失率、农药使用量减少率和农药包装废弃物</w:t>
      </w:r>
    </w:p>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回收率调查表</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中标供应商</w:t>
      </w:r>
      <w:r>
        <w:rPr>
          <w:rFonts w:hint="eastAsia" w:ascii="仿宋_GB2312" w:hAnsi="仿宋_GB2312" w:eastAsia="仿宋_GB2312" w:cs="仿宋_GB2312"/>
          <w:sz w:val="32"/>
          <w:szCs w:val="32"/>
        </w:rPr>
        <w:t>（公章）                                     填表日期：   年   月    日</w:t>
      </w:r>
    </w:p>
    <w:tbl>
      <w:tblPr>
        <w:tblStyle w:val="9"/>
        <w:tblW w:w="14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2"/>
        <w:gridCol w:w="3969"/>
        <w:gridCol w:w="3573"/>
        <w:gridCol w:w="3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2802" w:type="dxa"/>
            <w:vAlign w:val="center"/>
          </w:tcPr>
          <w:p>
            <w:pPr>
              <w:pStyle w:val="3"/>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项目区实施镇（街）</w:t>
            </w:r>
          </w:p>
        </w:tc>
        <w:tc>
          <w:tcPr>
            <w:tcW w:w="3969" w:type="dxa"/>
            <w:vAlign w:val="center"/>
          </w:tcPr>
          <w:p>
            <w:pPr>
              <w:pStyle w:val="3"/>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水稻病虫灾害损失率（%）</w:t>
            </w:r>
          </w:p>
        </w:tc>
        <w:tc>
          <w:tcPr>
            <w:tcW w:w="3573" w:type="dxa"/>
            <w:vAlign w:val="center"/>
          </w:tcPr>
          <w:p>
            <w:pPr>
              <w:pStyle w:val="3"/>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农药使用量减少率</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w:t>
            </w:r>
          </w:p>
        </w:tc>
        <w:tc>
          <w:tcPr>
            <w:tcW w:w="3776" w:type="dxa"/>
            <w:vAlign w:val="center"/>
          </w:tcPr>
          <w:p>
            <w:pPr>
              <w:pStyle w:val="3"/>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农药包装废弃物率</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2802" w:type="dxa"/>
          </w:tcPr>
          <w:p>
            <w:pPr>
              <w:pStyle w:val="3"/>
              <w:jc w:val="center"/>
              <w:rPr>
                <w:rFonts w:hint="eastAsia" w:ascii="仿宋_GB2312" w:hAnsi="仿宋_GB2312" w:eastAsia="仿宋_GB2312" w:cs="仿宋_GB2312"/>
                <w:kern w:val="0"/>
                <w:sz w:val="32"/>
                <w:szCs w:val="32"/>
              </w:rPr>
            </w:pPr>
          </w:p>
        </w:tc>
        <w:tc>
          <w:tcPr>
            <w:tcW w:w="3969" w:type="dxa"/>
            <w:vAlign w:val="center"/>
          </w:tcPr>
          <w:p>
            <w:pPr>
              <w:pStyle w:val="3"/>
              <w:jc w:val="center"/>
              <w:rPr>
                <w:rFonts w:hint="eastAsia" w:ascii="仿宋_GB2312" w:hAnsi="仿宋_GB2312" w:eastAsia="仿宋_GB2312" w:cs="仿宋_GB2312"/>
                <w:kern w:val="0"/>
                <w:sz w:val="32"/>
                <w:szCs w:val="32"/>
              </w:rPr>
            </w:pPr>
          </w:p>
        </w:tc>
        <w:tc>
          <w:tcPr>
            <w:tcW w:w="3573" w:type="dxa"/>
            <w:vAlign w:val="center"/>
          </w:tcPr>
          <w:p>
            <w:pPr>
              <w:pStyle w:val="3"/>
              <w:jc w:val="center"/>
              <w:rPr>
                <w:rFonts w:hint="eastAsia" w:ascii="仿宋_GB2312" w:hAnsi="仿宋_GB2312" w:eastAsia="仿宋_GB2312" w:cs="仿宋_GB2312"/>
                <w:kern w:val="0"/>
                <w:sz w:val="32"/>
                <w:szCs w:val="32"/>
              </w:rPr>
            </w:pPr>
          </w:p>
        </w:tc>
        <w:tc>
          <w:tcPr>
            <w:tcW w:w="3776" w:type="dxa"/>
            <w:vAlign w:val="center"/>
          </w:tcPr>
          <w:p>
            <w:pPr>
              <w:pStyle w:val="3"/>
              <w:jc w:val="center"/>
              <w:rPr>
                <w:rFonts w:hint="eastAsia"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2802" w:type="dxa"/>
          </w:tcPr>
          <w:p>
            <w:pPr>
              <w:pStyle w:val="3"/>
              <w:jc w:val="center"/>
              <w:rPr>
                <w:rFonts w:hint="eastAsia" w:ascii="仿宋_GB2312" w:hAnsi="仿宋_GB2312" w:eastAsia="仿宋_GB2312" w:cs="仿宋_GB2312"/>
                <w:kern w:val="0"/>
                <w:sz w:val="32"/>
                <w:szCs w:val="32"/>
              </w:rPr>
            </w:pPr>
          </w:p>
        </w:tc>
        <w:tc>
          <w:tcPr>
            <w:tcW w:w="3969" w:type="dxa"/>
            <w:vAlign w:val="center"/>
          </w:tcPr>
          <w:p>
            <w:pPr>
              <w:pStyle w:val="3"/>
              <w:jc w:val="center"/>
              <w:rPr>
                <w:rFonts w:hint="eastAsia" w:ascii="仿宋_GB2312" w:hAnsi="仿宋_GB2312" w:eastAsia="仿宋_GB2312" w:cs="仿宋_GB2312"/>
                <w:kern w:val="0"/>
                <w:sz w:val="32"/>
                <w:szCs w:val="32"/>
              </w:rPr>
            </w:pPr>
          </w:p>
        </w:tc>
        <w:tc>
          <w:tcPr>
            <w:tcW w:w="3573" w:type="dxa"/>
            <w:vAlign w:val="center"/>
          </w:tcPr>
          <w:p>
            <w:pPr>
              <w:pStyle w:val="3"/>
              <w:jc w:val="center"/>
              <w:rPr>
                <w:rFonts w:hint="eastAsia" w:ascii="仿宋_GB2312" w:hAnsi="仿宋_GB2312" w:eastAsia="仿宋_GB2312" w:cs="仿宋_GB2312"/>
                <w:kern w:val="0"/>
                <w:sz w:val="32"/>
                <w:szCs w:val="32"/>
              </w:rPr>
            </w:pPr>
          </w:p>
        </w:tc>
        <w:tc>
          <w:tcPr>
            <w:tcW w:w="3776" w:type="dxa"/>
            <w:vAlign w:val="center"/>
          </w:tcPr>
          <w:p>
            <w:pPr>
              <w:pStyle w:val="3"/>
              <w:jc w:val="center"/>
              <w:rPr>
                <w:rFonts w:hint="eastAsia"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2802" w:type="dxa"/>
          </w:tcPr>
          <w:p>
            <w:pPr>
              <w:pStyle w:val="3"/>
              <w:jc w:val="center"/>
              <w:rPr>
                <w:rFonts w:hint="eastAsia" w:ascii="仿宋_GB2312" w:hAnsi="仿宋_GB2312" w:eastAsia="仿宋_GB2312" w:cs="仿宋_GB2312"/>
                <w:kern w:val="0"/>
                <w:sz w:val="32"/>
                <w:szCs w:val="32"/>
              </w:rPr>
            </w:pPr>
          </w:p>
        </w:tc>
        <w:tc>
          <w:tcPr>
            <w:tcW w:w="3969" w:type="dxa"/>
            <w:vAlign w:val="center"/>
          </w:tcPr>
          <w:p>
            <w:pPr>
              <w:pStyle w:val="3"/>
              <w:jc w:val="center"/>
              <w:rPr>
                <w:rFonts w:hint="eastAsia" w:ascii="仿宋_GB2312" w:hAnsi="仿宋_GB2312" w:eastAsia="仿宋_GB2312" w:cs="仿宋_GB2312"/>
                <w:kern w:val="0"/>
                <w:sz w:val="32"/>
                <w:szCs w:val="32"/>
              </w:rPr>
            </w:pPr>
          </w:p>
        </w:tc>
        <w:tc>
          <w:tcPr>
            <w:tcW w:w="3573" w:type="dxa"/>
            <w:vAlign w:val="center"/>
          </w:tcPr>
          <w:p>
            <w:pPr>
              <w:pStyle w:val="3"/>
              <w:jc w:val="center"/>
              <w:rPr>
                <w:rFonts w:hint="eastAsia" w:ascii="仿宋_GB2312" w:hAnsi="仿宋_GB2312" w:eastAsia="仿宋_GB2312" w:cs="仿宋_GB2312"/>
                <w:kern w:val="0"/>
                <w:sz w:val="32"/>
                <w:szCs w:val="32"/>
              </w:rPr>
            </w:pPr>
          </w:p>
        </w:tc>
        <w:tc>
          <w:tcPr>
            <w:tcW w:w="3776" w:type="dxa"/>
            <w:vAlign w:val="center"/>
          </w:tcPr>
          <w:p>
            <w:pPr>
              <w:pStyle w:val="3"/>
              <w:jc w:val="center"/>
              <w:rPr>
                <w:rFonts w:hint="eastAsia"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2802" w:type="dxa"/>
          </w:tcPr>
          <w:p>
            <w:pPr>
              <w:pStyle w:val="3"/>
              <w:jc w:val="center"/>
              <w:rPr>
                <w:rFonts w:hint="eastAsia" w:ascii="仿宋_GB2312" w:hAnsi="仿宋_GB2312" w:eastAsia="仿宋_GB2312" w:cs="仿宋_GB2312"/>
                <w:kern w:val="0"/>
                <w:sz w:val="32"/>
                <w:szCs w:val="32"/>
              </w:rPr>
            </w:pPr>
          </w:p>
        </w:tc>
        <w:tc>
          <w:tcPr>
            <w:tcW w:w="3969" w:type="dxa"/>
            <w:vAlign w:val="center"/>
          </w:tcPr>
          <w:p>
            <w:pPr>
              <w:pStyle w:val="3"/>
              <w:jc w:val="center"/>
              <w:rPr>
                <w:rFonts w:hint="eastAsia" w:ascii="仿宋_GB2312" w:hAnsi="仿宋_GB2312" w:eastAsia="仿宋_GB2312" w:cs="仿宋_GB2312"/>
                <w:kern w:val="0"/>
                <w:sz w:val="32"/>
                <w:szCs w:val="32"/>
              </w:rPr>
            </w:pPr>
          </w:p>
        </w:tc>
        <w:tc>
          <w:tcPr>
            <w:tcW w:w="3573" w:type="dxa"/>
            <w:vAlign w:val="center"/>
          </w:tcPr>
          <w:p>
            <w:pPr>
              <w:pStyle w:val="3"/>
              <w:jc w:val="center"/>
              <w:rPr>
                <w:rFonts w:hint="eastAsia" w:ascii="仿宋_GB2312" w:hAnsi="仿宋_GB2312" w:eastAsia="仿宋_GB2312" w:cs="仿宋_GB2312"/>
                <w:kern w:val="0"/>
                <w:sz w:val="32"/>
                <w:szCs w:val="32"/>
              </w:rPr>
            </w:pPr>
          </w:p>
        </w:tc>
        <w:tc>
          <w:tcPr>
            <w:tcW w:w="3776" w:type="dxa"/>
            <w:vAlign w:val="center"/>
          </w:tcPr>
          <w:p>
            <w:pPr>
              <w:pStyle w:val="3"/>
              <w:jc w:val="center"/>
              <w:rPr>
                <w:rFonts w:hint="eastAsia"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2802" w:type="dxa"/>
          </w:tcPr>
          <w:p>
            <w:pPr>
              <w:pStyle w:val="3"/>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加权平均</w:t>
            </w:r>
          </w:p>
        </w:tc>
        <w:tc>
          <w:tcPr>
            <w:tcW w:w="3969" w:type="dxa"/>
            <w:vAlign w:val="center"/>
          </w:tcPr>
          <w:p>
            <w:pPr>
              <w:pStyle w:val="3"/>
              <w:jc w:val="center"/>
              <w:rPr>
                <w:rFonts w:hint="eastAsia" w:ascii="仿宋_GB2312" w:hAnsi="仿宋_GB2312" w:eastAsia="仿宋_GB2312" w:cs="仿宋_GB2312"/>
                <w:kern w:val="0"/>
                <w:sz w:val="32"/>
                <w:szCs w:val="32"/>
              </w:rPr>
            </w:pPr>
          </w:p>
        </w:tc>
        <w:tc>
          <w:tcPr>
            <w:tcW w:w="3573" w:type="dxa"/>
            <w:vAlign w:val="center"/>
          </w:tcPr>
          <w:p>
            <w:pPr>
              <w:pStyle w:val="3"/>
              <w:jc w:val="center"/>
              <w:rPr>
                <w:rFonts w:hint="eastAsia" w:ascii="仿宋_GB2312" w:hAnsi="仿宋_GB2312" w:eastAsia="仿宋_GB2312" w:cs="仿宋_GB2312"/>
                <w:kern w:val="0"/>
                <w:sz w:val="32"/>
                <w:szCs w:val="32"/>
              </w:rPr>
            </w:pPr>
          </w:p>
        </w:tc>
        <w:tc>
          <w:tcPr>
            <w:tcW w:w="3776" w:type="dxa"/>
            <w:vAlign w:val="center"/>
          </w:tcPr>
          <w:p>
            <w:pPr>
              <w:pStyle w:val="3"/>
              <w:jc w:val="center"/>
              <w:rPr>
                <w:rFonts w:hint="eastAsia" w:ascii="仿宋_GB2312" w:hAnsi="仿宋_GB2312" w:eastAsia="仿宋_GB2312" w:cs="仿宋_GB2312"/>
                <w:kern w:val="0"/>
                <w:sz w:val="32"/>
                <w:szCs w:val="32"/>
              </w:rPr>
            </w:pPr>
          </w:p>
        </w:tc>
      </w:tr>
    </w:tbl>
    <w:p>
      <w:pPr>
        <w:pStyle w:val="3"/>
        <w:ind w:left="640" w:hanging="632" w:hanging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注：此表的具体绩效目标见《新会区2022年省级水稻病虫害统防统治项目实施方案》。 </w:t>
      </w:r>
    </w:p>
    <w:p>
      <w:pPr>
        <w:tabs>
          <w:tab w:val="left" w:pos="3362"/>
        </w:tabs>
        <w:bidi w:val="0"/>
        <w:jc w:val="left"/>
        <w:rPr>
          <w:rFonts w:hint="eastAsia"/>
          <w:lang w:val="en-US" w:eastAsia="zh-CN"/>
        </w:rPr>
      </w:pPr>
    </w:p>
    <w:sectPr>
      <w:headerReference r:id="rId3" w:type="default"/>
      <w:footerReference r:id="rId4" w:type="default"/>
      <w:footerReference r:id="rId5" w:type="even"/>
      <w:pgSz w:w="16838" w:h="11906" w:orient="landscape"/>
      <w:pgMar w:top="1080" w:right="1440" w:bottom="1080" w:left="1440" w:header="851" w:footer="56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小标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 w:name="方正仿宋简体">
    <w:panose1 w:val="02010601030101010101"/>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left="320" w:leftChars="100" w:right="320" w:rightChars="100"/>
      <w:rPr>
        <w:rStyle w:val="11"/>
        <w:b/>
        <w:bCs/>
        <w:sz w:val="28"/>
      </w:rPr>
    </w:pPr>
    <w:r>
      <w:rPr>
        <w:rStyle w:val="11"/>
        <w:rFonts w:hint="eastAsia"/>
        <w:sz w:val="28"/>
      </w:rPr>
      <w:t>—</w:t>
    </w:r>
    <w:r>
      <w:rPr>
        <w:rStyle w:val="11"/>
        <w:sz w:val="28"/>
      </w:rPr>
      <w:fldChar w:fldCharType="begin"/>
    </w:r>
    <w:r>
      <w:rPr>
        <w:rStyle w:val="11"/>
        <w:sz w:val="28"/>
      </w:rPr>
      <w:instrText xml:space="preserve">PAGE  </w:instrText>
    </w:r>
    <w:r>
      <w:rPr>
        <w:rStyle w:val="11"/>
        <w:sz w:val="28"/>
      </w:rPr>
      <w:fldChar w:fldCharType="separate"/>
    </w:r>
    <w:r>
      <w:rPr>
        <w:rStyle w:val="11"/>
        <w:sz w:val="28"/>
      </w:rPr>
      <w:t>1</w:t>
    </w:r>
    <w:r>
      <w:rPr>
        <w:rStyle w:val="11"/>
        <w:sz w:val="28"/>
      </w:rPr>
      <w:fldChar w:fldCharType="end"/>
    </w:r>
    <w:r>
      <w:rPr>
        <w:rStyle w:val="11"/>
        <w:rFonts w:hint="eastAsia"/>
        <w:sz w:val="28"/>
      </w:rPr>
      <w:t>—</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separate"/>
    </w:r>
    <w:r>
      <w:rPr>
        <w:rStyle w:val="11"/>
      </w:rPr>
      <w:t>1</w:t>
    </w:r>
    <w:r>
      <w:rPr>
        <w:rStyle w:val="11"/>
      </w:rP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zk0M2E4YWQ2NzA5ZTA4OTRjNGVjYmFlZWJmY2FlZmYifQ=="/>
  </w:docVars>
  <w:rsids>
    <w:rsidRoot w:val="000F1B41"/>
    <w:rsid w:val="0000454C"/>
    <w:rsid w:val="000169A0"/>
    <w:rsid w:val="00024431"/>
    <w:rsid w:val="00037357"/>
    <w:rsid w:val="00064A47"/>
    <w:rsid w:val="000811F5"/>
    <w:rsid w:val="00095A31"/>
    <w:rsid w:val="000B4430"/>
    <w:rsid w:val="000C00ED"/>
    <w:rsid w:val="000C4D3D"/>
    <w:rsid w:val="000E5B6E"/>
    <w:rsid w:val="000F16F8"/>
    <w:rsid w:val="000F1B41"/>
    <w:rsid w:val="000F23F7"/>
    <w:rsid w:val="00103867"/>
    <w:rsid w:val="00106E10"/>
    <w:rsid w:val="00106FB6"/>
    <w:rsid w:val="00114A7F"/>
    <w:rsid w:val="001379FE"/>
    <w:rsid w:val="00142BA2"/>
    <w:rsid w:val="001508F3"/>
    <w:rsid w:val="001553A6"/>
    <w:rsid w:val="00166A58"/>
    <w:rsid w:val="001772F3"/>
    <w:rsid w:val="0019493D"/>
    <w:rsid w:val="0019553B"/>
    <w:rsid w:val="001A4EEB"/>
    <w:rsid w:val="001B000D"/>
    <w:rsid w:val="001C08C6"/>
    <w:rsid w:val="001C0AF5"/>
    <w:rsid w:val="001D5AE2"/>
    <w:rsid w:val="001E289F"/>
    <w:rsid w:val="001E313A"/>
    <w:rsid w:val="0020568D"/>
    <w:rsid w:val="00213774"/>
    <w:rsid w:val="00220F49"/>
    <w:rsid w:val="0022257C"/>
    <w:rsid w:val="00241B93"/>
    <w:rsid w:val="002446C0"/>
    <w:rsid w:val="002532EB"/>
    <w:rsid w:val="00271CDC"/>
    <w:rsid w:val="0028003D"/>
    <w:rsid w:val="00286A38"/>
    <w:rsid w:val="002C1D85"/>
    <w:rsid w:val="002C4A49"/>
    <w:rsid w:val="002D2D7D"/>
    <w:rsid w:val="002D58BA"/>
    <w:rsid w:val="00307089"/>
    <w:rsid w:val="003173A6"/>
    <w:rsid w:val="003433FB"/>
    <w:rsid w:val="00345B67"/>
    <w:rsid w:val="003541DF"/>
    <w:rsid w:val="0036046B"/>
    <w:rsid w:val="003678D6"/>
    <w:rsid w:val="00372570"/>
    <w:rsid w:val="003A2189"/>
    <w:rsid w:val="003A28B2"/>
    <w:rsid w:val="003A68A2"/>
    <w:rsid w:val="003B021A"/>
    <w:rsid w:val="003C1190"/>
    <w:rsid w:val="003C485B"/>
    <w:rsid w:val="003D1A13"/>
    <w:rsid w:val="003D6247"/>
    <w:rsid w:val="003E03DF"/>
    <w:rsid w:val="003E5E3B"/>
    <w:rsid w:val="00403BC0"/>
    <w:rsid w:val="0040602F"/>
    <w:rsid w:val="00411B8B"/>
    <w:rsid w:val="00413902"/>
    <w:rsid w:val="00425E10"/>
    <w:rsid w:val="00436216"/>
    <w:rsid w:val="00453C76"/>
    <w:rsid w:val="00454403"/>
    <w:rsid w:val="004549E2"/>
    <w:rsid w:val="004550C0"/>
    <w:rsid w:val="00460B25"/>
    <w:rsid w:val="00476A55"/>
    <w:rsid w:val="00481B9B"/>
    <w:rsid w:val="004A0018"/>
    <w:rsid w:val="004A5F92"/>
    <w:rsid w:val="004B59F0"/>
    <w:rsid w:val="004C2140"/>
    <w:rsid w:val="004C2436"/>
    <w:rsid w:val="004C6969"/>
    <w:rsid w:val="004D0BAD"/>
    <w:rsid w:val="004E6879"/>
    <w:rsid w:val="004F4D0A"/>
    <w:rsid w:val="004F5424"/>
    <w:rsid w:val="004F7F86"/>
    <w:rsid w:val="005051DF"/>
    <w:rsid w:val="00526E4B"/>
    <w:rsid w:val="0054409C"/>
    <w:rsid w:val="00553772"/>
    <w:rsid w:val="005838B1"/>
    <w:rsid w:val="005B0EF3"/>
    <w:rsid w:val="005B2C3C"/>
    <w:rsid w:val="005D0BED"/>
    <w:rsid w:val="005E3107"/>
    <w:rsid w:val="005F53B2"/>
    <w:rsid w:val="0062633B"/>
    <w:rsid w:val="00664B44"/>
    <w:rsid w:val="0067018E"/>
    <w:rsid w:val="00673D6A"/>
    <w:rsid w:val="006956FD"/>
    <w:rsid w:val="006979FF"/>
    <w:rsid w:val="006A1FE8"/>
    <w:rsid w:val="006B38F7"/>
    <w:rsid w:val="006B51AB"/>
    <w:rsid w:val="006B6CFB"/>
    <w:rsid w:val="006D65A3"/>
    <w:rsid w:val="006E1E22"/>
    <w:rsid w:val="006E325F"/>
    <w:rsid w:val="0070507F"/>
    <w:rsid w:val="00720828"/>
    <w:rsid w:val="00735C39"/>
    <w:rsid w:val="007543E6"/>
    <w:rsid w:val="007635BF"/>
    <w:rsid w:val="00773045"/>
    <w:rsid w:val="007A0FEC"/>
    <w:rsid w:val="007A2FC6"/>
    <w:rsid w:val="007C474D"/>
    <w:rsid w:val="007D3928"/>
    <w:rsid w:val="007E0D86"/>
    <w:rsid w:val="007E1492"/>
    <w:rsid w:val="008176A2"/>
    <w:rsid w:val="00825535"/>
    <w:rsid w:val="00825A9D"/>
    <w:rsid w:val="00832230"/>
    <w:rsid w:val="00865168"/>
    <w:rsid w:val="008676E9"/>
    <w:rsid w:val="00871838"/>
    <w:rsid w:val="00875BF3"/>
    <w:rsid w:val="00890F54"/>
    <w:rsid w:val="008C3874"/>
    <w:rsid w:val="008C3F63"/>
    <w:rsid w:val="008E4976"/>
    <w:rsid w:val="008E5A99"/>
    <w:rsid w:val="008F04BF"/>
    <w:rsid w:val="008F0552"/>
    <w:rsid w:val="008F4328"/>
    <w:rsid w:val="008F5124"/>
    <w:rsid w:val="00916251"/>
    <w:rsid w:val="009244D2"/>
    <w:rsid w:val="009267EF"/>
    <w:rsid w:val="0094799A"/>
    <w:rsid w:val="00950F35"/>
    <w:rsid w:val="00963536"/>
    <w:rsid w:val="00984CEB"/>
    <w:rsid w:val="00986A08"/>
    <w:rsid w:val="009B6940"/>
    <w:rsid w:val="009D307E"/>
    <w:rsid w:val="009E07ED"/>
    <w:rsid w:val="00A142A7"/>
    <w:rsid w:val="00A24D52"/>
    <w:rsid w:val="00A3468F"/>
    <w:rsid w:val="00A53183"/>
    <w:rsid w:val="00A653BB"/>
    <w:rsid w:val="00A842BD"/>
    <w:rsid w:val="00A93C65"/>
    <w:rsid w:val="00AB3D14"/>
    <w:rsid w:val="00AB6A94"/>
    <w:rsid w:val="00AC0E4F"/>
    <w:rsid w:val="00AF4FF6"/>
    <w:rsid w:val="00AF6CBC"/>
    <w:rsid w:val="00B51276"/>
    <w:rsid w:val="00B81943"/>
    <w:rsid w:val="00B861FD"/>
    <w:rsid w:val="00BB3B29"/>
    <w:rsid w:val="00BD70FB"/>
    <w:rsid w:val="00BE09BB"/>
    <w:rsid w:val="00BF3A59"/>
    <w:rsid w:val="00C12F1A"/>
    <w:rsid w:val="00C439CB"/>
    <w:rsid w:val="00C709C3"/>
    <w:rsid w:val="00C7192A"/>
    <w:rsid w:val="00C80F63"/>
    <w:rsid w:val="00C96913"/>
    <w:rsid w:val="00C973ED"/>
    <w:rsid w:val="00CA41E1"/>
    <w:rsid w:val="00CA7C5E"/>
    <w:rsid w:val="00CC231B"/>
    <w:rsid w:val="00CD0D31"/>
    <w:rsid w:val="00CD1DEB"/>
    <w:rsid w:val="00CE4978"/>
    <w:rsid w:val="00CE7ACF"/>
    <w:rsid w:val="00CF528E"/>
    <w:rsid w:val="00CF74ED"/>
    <w:rsid w:val="00D16CB7"/>
    <w:rsid w:val="00D24E37"/>
    <w:rsid w:val="00D33985"/>
    <w:rsid w:val="00D60A75"/>
    <w:rsid w:val="00D64F6B"/>
    <w:rsid w:val="00D73151"/>
    <w:rsid w:val="00DB067D"/>
    <w:rsid w:val="00DB26A4"/>
    <w:rsid w:val="00DC5E34"/>
    <w:rsid w:val="00DE2B5E"/>
    <w:rsid w:val="00DE3E36"/>
    <w:rsid w:val="00E03B56"/>
    <w:rsid w:val="00E0725E"/>
    <w:rsid w:val="00E107CD"/>
    <w:rsid w:val="00E14F4C"/>
    <w:rsid w:val="00E1587A"/>
    <w:rsid w:val="00E24B91"/>
    <w:rsid w:val="00E4313B"/>
    <w:rsid w:val="00E51C9A"/>
    <w:rsid w:val="00E529DC"/>
    <w:rsid w:val="00E569A4"/>
    <w:rsid w:val="00E90B4F"/>
    <w:rsid w:val="00EA1A47"/>
    <w:rsid w:val="00EB0534"/>
    <w:rsid w:val="00EB20B2"/>
    <w:rsid w:val="00EB43B8"/>
    <w:rsid w:val="00EE460A"/>
    <w:rsid w:val="00F05EF3"/>
    <w:rsid w:val="00F4346F"/>
    <w:rsid w:val="00F66F37"/>
    <w:rsid w:val="00F81B5D"/>
    <w:rsid w:val="00FA6797"/>
    <w:rsid w:val="00FB0B32"/>
    <w:rsid w:val="00FE6B72"/>
    <w:rsid w:val="00FE7790"/>
    <w:rsid w:val="00FE790A"/>
    <w:rsid w:val="00FF0236"/>
    <w:rsid w:val="00FF2607"/>
    <w:rsid w:val="17BE04FB"/>
    <w:rsid w:val="20D65B72"/>
    <w:rsid w:val="24DF33B6"/>
    <w:rsid w:val="28F472B7"/>
    <w:rsid w:val="2AE5579D"/>
    <w:rsid w:val="2D4C3C3F"/>
    <w:rsid w:val="3FAF4221"/>
    <w:rsid w:val="4935701D"/>
    <w:rsid w:val="58A950FC"/>
    <w:rsid w:val="5FBF5EB6"/>
    <w:rsid w:val="69912070"/>
    <w:rsid w:val="774816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仿宋" w:cs="Times New Roman"/>
      <w:kern w:val="2"/>
      <w:sz w:val="32"/>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99"/>
  </w:style>
  <w:style w:type="paragraph" w:styleId="3">
    <w:name w:val="annotation text"/>
    <w:basedOn w:val="1"/>
    <w:unhideWhenUsed/>
    <w:qFormat/>
    <w:uiPriority w:val="99"/>
    <w:pPr>
      <w:jc w:val="left"/>
    </w:pPr>
  </w:style>
  <w:style w:type="paragraph" w:styleId="4">
    <w:name w:val="Body Text"/>
    <w:basedOn w:val="1"/>
    <w:link w:val="14"/>
    <w:qFormat/>
    <w:uiPriority w:val="0"/>
    <w:pPr>
      <w:spacing w:line="0" w:lineRule="atLeast"/>
    </w:pPr>
    <w:rPr>
      <w:rFonts w:eastAsia="小标宋"/>
      <w:sz w:val="44"/>
      <w:szCs w:val="32"/>
    </w:rPr>
  </w:style>
  <w:style w:type="paragraph" w:styleId="5">
    <w:name w:val="Date"/>
    <w:basedOn w:val="1"/>
    <w:next w:val="1"/>
    <w:link w:val="15"/>
    <w:semiHidden/>
    <w:unhideWhenUsed/>
    <w:qFormat/>
    <w:uiPriority w:val="99"/>
    <w:pPr>
      <w:ind w:left="100" w:leftChars="2500"/>
    </w:pPr>
  </w:style>
  <w:style w:type="paragraph" w:styleId="6">
    <w:name w:val="footer"/>
    <w:basedOn w:val="1"/>
    <w:link w:val="13"/>
    <w:unhideWhenUsed/>
    <w:qFormat/>
    <w:uiPriority w:val="0"/>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page number"/>
    <w:basedOn w:val="10"/>
    <w:qFormat/>
    <w:uiPriority w:val="0"/>
  </w:style>
  <w:style w:type="character" w:customStyle="1" w:styleId="12">
    <w:name w:val="页眉 Char"/>
    <w:link w:val="7"/>
    <w:semiHidden/>
    <w:qFormat/>
    <w:uiPriority w:val="99"/>
    <w:rPr>
      <w:rFonts w:ascii="宋体" w:hAnsi="宋体" w:eastAsia="方正仿宋简体"/>
      <w:sz w:val="18"/>
      <w:szCs w:val="18"/>
    </w:rPr>
  </w:style>
  <w:style w:type="character" w:customStyle="1" w:styleId="13">
    <w:name w:val="页脚 Char"/>
    <w:link w:val="6"/>
    <w:qFormat/>
    <w:uiPriority w:val="99"/>
    <w:rPr>
      <w:rFonts w:ascii="宋体" w:hAnsi="宋体" w:eastAsia="方正仿宋简体"/>
      <w:sz w:val="18"/>
      <w:szCs w:val="18"/>
    </w:rPr>
  </w:style>
  <w:style w:type="character" w:customStyle="1" w:styleId="14">
    <w:name w:val="正文文本 Char"/>
    <w:link w:val="4"/>
    <w:qFormat/>
    <w:uiPriority w:val="0"/>
    <w:rPr>
      <w:rFonts w:ascii="宋体" w:hAnsi="宋体" w:eastAsia="小标宋" w:cs="Times New Roman"/>
      <w:sz w:val="44"/>
      <w:szCs w:val="32"/>
    </w:rPr>
  </w:style>
  <w:style w:type="character" w:customStyle="1" w:styleId="15">
    <w:name w:val="日期 Char"/>
    <w:basedOn w:val="10"/>
    <w:link w:val="5"/>
    <w:semiHidden/>
    <w:qFormat/>
    <w:uiPriority w:val="99"/>
    <w:rPr>
      <w:rFonts w:ascii="宋体" w:hAnsi="宋体" w:eastAsia="仿宋"/>
      <w:kern w:val="2"/>
      <w:sz w:val="32"/>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36"/>
    <customShpInfo spid="_x0000_s1035"/>
    <customShpInfo spid="_x0000_s103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C03982-47B1-41B9-A36D-E59475E8A9F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4786</Words>
  <Characters>5022</Characters>
  <Lines>6</Lines>
  <Paragraphs>1</Paragraphs>
  <TotalTime>9</TotalTime>
  <ScaleCrop>false</ScaleCrop>
  <LinksUpToDate>false</LinksUpToDate>
  <CharactersWithSpaces>5385</CharactersWithSpaces>
  <Application>WPS Office_11.1.0.12587_F1E327BC-269C-435d-A152-05C5408002CA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2020-01-08T09:44:00Z</dcterms:created>
  <dc:creator>区农林局收发员</dc:creator>
  <cp:lastModifiedBy>奇洛元维斯</cp:lastModifiedBy>
  <cp:lastPrinted>2022-09-21T09:14:00Z</cp:lastPrinted>
  <dcterms:modified xsi:type="dcterms:W3CDTF">2022-09-27T07:08:56Z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2052-11.1.0.12587</vt:lpwstr>
  </property>
  <property fmtid="{D5CDD505-2E9C-101B-9397-08002B2CF9AE}" pid="3" name="ICV">
    <vt:lpwstr>B6725F8DA0904803A908A575B56E2C52</vt:lpwstr>
  </property>
</Properties>
</file>