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val="0"/>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 xml:space="preserve">  填写单位：</w:t>
      </w:r>
      <w:r>
        <w:rPr>
          <w:rFonts w:hint="eastAsia" w:ascii="宋体" w:hAnsi="宋体" w:eastAsia="宋体" w:cs="宋体"/>
          <w:i w:val="0"/>
          <w:color w:val="000000"/>
          <w:sz w:val="20"/>
          <w:szCs w:val="20"/>
          <w:u w:val="none"/>
          <w:lang w:eastAsia="zh-CN"/>
        </w:rPr>
        <w:t>江门市新会区司法局</w:t>
      </w:r>
      <w:bookmarkStart w:id="0" w:name="_GoBack"/>
      <w:bookmarkEnd w:id="0"/>
      <w:r>
        <w:rPr>
          <w:rFonts w:hint="default" w:ascii="宋体" w:hAnsi="宋体" w:eastAsia="宋体" w:cs="宋体"/>
          <w:i w:val="0"/>
          <w:color w:val="000000"/>
          <w:sz w:val="20"/>
          <w:szCs w:val="20"/>
          <w:u w:val="none"/>
        </w:rPr>
        <w:t xml:space="preserve">                    </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人民调解员信息查询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根据群众需求，为群众提供广东省内人民调解员相关信息查询服务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前往新会区公共法律服务中心查询省内人民调解员信息的群众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新会区公共法律服务中心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江门市新会区东庆北路28号新会区公共法律服务中心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周一至周五（法定节假日除外）上午8: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0-12:00下午14:</w:t>
            </w:r>
            <w:r>
              <w:rPr>
                <w:rFonts w:hint="eastAsia" w:ascii="宋体" w:hAnsi="宋体" w:eastAsia="宋体" w:cs="宋体"/>
                <w:i w:val="0"/>
                <w:color w:val="000000"/>
                <w:sz w:val="28"/>
                <w:szCs w:val="28"/>
                <w:u w:val="none"/>
                <w:lang w:val="en-US" w:eastAsia="zh-CN"/>
              </w:rPr>
              <w:t>3</w:t>
            </w:r>
            <w:r>
              <w:rPr>
                <w:rFonts w:hint="eastAsia" w:ascii="宋体" w:hAnsi="宋体" w:eastAsia="宋体" w:cs="宋体"/>
                <w:i w:val="0"/>
                <w:color w:val="000000"/>
                <w:sz w:val="28"/>
                <w:szCs w:val="28"/>
                <w:u w:val="none"/>
              </w:rPr>
              <w:t>0-17:30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新会区</w:t>
            </w:r>
            <w:r>
              <w:rPr>
                <w:rFonts w:hint="default" w:ascii="宋体" w:hAnsi="宋体" w:eastAsia="宋体" w:cs="宋体"/>
                <w:i w:val="0"/>
                <w:color w:val="000000"/>
                <w:sz w:val="24"/>
                <w:szCs w:val="24"/>
                <w:u w:val="none"/>
              </w:rPr>
              <w:t>内人民调解员相关信息</w:t>
            </w:r>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二、申请查询人民调解员信息的群众需提供人民调解员准确姓名或所属调委会以供查询。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eastAsia" w:ascii="宋体" w:hAnsi="宋体" w:eastAsia="宋体" w:cs="宋体"/>
                <w:i w:val="0"/>
                <w:color w:val="000000"/>
                <w:kern w:val="0"/>
                <w:sz w:val="28"/>
                <w:szCs w:val="28"/>
                <w:u w:val="none"/>
                <w:lang w:val="en-US" w:eastAsia="zh-CN" w:bidi="ar"/>
              </w:rPr>
              <w:t>0750-6166768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0750-6166810</w:t>
            </w:r>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pPr>
              <w:spacing w:line="360" w:lineRule="auto"/>
              <w:jc w:val="both"/>
              <w:rPr>
                <w:rFonts w:hint="eastAsia" w:ascii="仿宋" w:hAnsi="仿宋" w:eastAsia="仿宋" w:cs="仿宋"/>
                <w:b/>
                <w:bCs/>
                <w:kern w:val="2"/>
                <w:sz w:val="24"/>
                <w:szCs w:val="24"/>
                <w:vertAlign w:val="baseline"/>
                <w:lang w:val="en-US" w:eastAsia="zh-CN" w:bidi="ar-SA"/>
              </w:rPr>
            </w:pP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jc w:val="both"/>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pPr>
              <w:jc w:val="center"/>
              <w:rPr>
                <w:rFonts w:hint="eastAsia" w:ascii="仿宋" w:hAnsi="仿宋" w:eastAsia="仿宋" w:cs="仿宋"/>
                <w:b/>
                <w:bCs/>
                <w:kern w:val="2"/>
                <w:sz w:val="28"/>
                <w:szCs w:val="28"/>
                <w:vertAlign w:val="baseline"/>
                <w:lang w:val="en-US" w:eastAsia="zh-CN" w:bidi="ar-SA"/>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Microsoft JhengHei UI Light">
    <w:altName w:val="Microsoft JhengHei"/>
    <w:panose1 w:val="00000000000000000000"/>
    <w:charset w:val="00"/>
    <w:family w:val="auto"/>
    <w:pitch w:val="default"/>
    <w:sig w:usb0="00000000" w:usb1="00000000" w:usb2="00000000" w:usb3="00000000" w:csb0="0000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F6E1253"/>
    <w:rsid w:val="2FAEEB3D"/>
    <w:rsid w:val="3BFF04C5"/>
    <w:rsid w:val="4523548B"/>
    <w:rsid w:val="4D535AD0"/>
    <w:rsid w:val="4EEB5532"/>
    <w:rsid w:val="57671A88"/>
    <w:rsid w:val="5F5A3F72"/>
    <w:rsid w:val="62151102"/>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Administrator</cp:lastModifiedBy>
  <dcterms:modified xsi:type="dcterms:W3CDTF">2020-12-15T00:43:28Z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