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920"/>
        </w:tabs>
        <w:jc w:val="center"/>
        <w:rPr>
          <w:rFonts w:hint="eastAsia" w:ascii="华文中宋" w:hAnsi="华文中宋" w:eastAsia="华文中宋" w:cs="宋体"/>
          <w:sz w:val="44"/>
          <w:szCs w:val="44"/>
        </w:rPr>
      </w:pPr>
      <w:r>
        <w:rPr>
          <w:rFonts w:hint="eastAsia" w:ascii="华文中宋" w:hAnsi="华文中宋" w:eastAsia="华文中宋" w:cs="宋体"/>
          <w:sz w:val="44"/>
          <w:szCs w:val="44"/>
        </w:rPr>
        <w:t>关于2023年</w:t>
      </w:r>
      <w:r>
        <w:rPr>
          <w:rFonts w:hint="eastAsia" w:ascii="华文中宋" w:hAnsi="华文中宋" w:eastAsia="华文中宋" w:cs="宋体"/>
          <w:sz w:val="44"/>
          <w:szCs w:val="44"/>
          <w:lang w:val="en-US" w:eastAsia="zh-CN"/>
        </w:rPr>
        <w:t>8</w:t>
      </w:r>
      <w:r>
        <w:rPr>
          <w:rFonts w:hint="eastAsia" w:ascii="华文中宋" w:hAnsi="华文中宋" w:eastAsia="华文中宋" w:cs="宋体"/>
          <w:sz w:val="44"/>
          <w:szCs w:val="44"/>
        </w:rPr>
        <w:t>月份新会区卫生监督信息情况的通告</w:t>
      </w:r>
    </w:p>
    <w:p>
      <w:pPr>
        <w:tabs>
          <w:tab w:val="left" w:pos="7920"/>
        </w:tabs>
        <w:jc w:val="center"/>
        <w:rPr>
          <w:rFonts w:hint="eastAsia" w:ascii="宋体" w:hAnsi="宋体" w:cs="宋体"/>
          <w:sz w:val="28"/>
          <w:szCs w:val="28"/>
        </w:rPr>
      </w:pPr>
      <w:r>
        <w:rPr>
          <w:rFonts w:hint="eastAsia" w:ascii="仿宋_GB2312" w:hAnsi="宋体" w:eastAsia="仿宋_GB2312" w:cs="宋体"/>
          <w:sz w:val="32"/>
          <w:szCs w:val="32"/>
        </w:rPr>
        <w:t>根据《新会区卫生健康局卫生监督信息公示制度（试行）》要求，我局对2023年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月份有关卫生监督信息公示如下（详见附表）。</w:t>
      </w:r>
      <w:r>
        <w:rPr>
          <w:rFonts w:hint="eastAsia" w:ascii="宋体" w:hAnsi="宋体" w:cs="宋体"/>
          <w:sz w:val="28"/>
          <w:szCs w:val="28"/>
        </w:rPr>
        <w:br w:type="textWrapping"/>
      </w:r>
      <w:r>
        <w:rPr>
          <w:rFonts w:hint="eastAsia" w:ascii="宋体" w:hAnsi="宋体" w:cs="宋体"/>
          <w:sz w:val="28"/>
          <w:szCs w:val="28"/>
        </w:rPr>
        <w:t>卫生监督信息（20230</w:t>
      </w:r>
      <w:r>
        <w:rPr>
          <w:rFonts w:hint="eastAsia" w:ascii="宋体" w:hAnsi="宋体" w:cs="宋体"/>
          <w:sz w:val="28"/>
          <w:szCs w:val="28"/>
          <w:lang w:val="en-US" w:eastAsia="zh-CN"/>
        </w:rPr>
        <w:t>8</w:t>
      </w:r>
      <w:r>
        <w:rPr>
          <w:rFonts w:hint="eastAsia" w:ascii="宋体" w:hAnsi="宋体" w:cs="宋体"/>
          <w:sz w:val="28"/>
          <w:szCs w:val="28"/>
        </w:rPr>
        <w:t>）</w:t>
      </w:r>
    </w:p>
    <w:p>
      <w:pPr>
        <w:tabs>
          <w:tab w:val="left" w:pos="7920"/>
        </w:tabs>
        <w:jc w:val="center"/>
        <w:rPr>
          <w:rFonts w:hint="eastAsia"/>
        </w:rPr>
      </w:pPr>
    </w:p>
    <w:p>
      <w:pPr>
        <w:numPr>
          <w:ilvl w:val="0"/>
          <w:numId w:val="1"/>
        </w:numPr>
        <w:rPr>
          <w:rFonts w:hint="eastAsia"/>
        </w:rPr>
      </w:pPr>
      <w:r>
        <w:rPr>
          <w:rFonts w:hint="eastAsia"/>
        </w:rPr>
        <w:t>医疗卫生行政处罚案信息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693"/>
        <w:gridCol w:w="5576"/>
        <w:gridCol w:w="649"/>
        <w:gridCol w:w="287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68" w:type="dxa"/>
            <w:vAlign w:val="center"/>
          </w:tcPr>
          <w:p>
            <w:pPr>
              <w:jc w:val="center"/>
              <w:rPr>
                <w:rFonts w:ascii="宋体" w:hAnsi="宋体"/>
                <w:sz w:val="24"/>
              </w:rPr>
            </w:pPr>
            <w:r>
              <w:rPr>
                <w:rFonts w:ascii="宋体" w:hAnsi="宋体"/>
                <w:sz w:val="24"/>
              </w:rPr>
              <w:t>单位名称</w:t>
            </w:r>
          </w:p>
        </w:tc>
        <w:tc>
          <w:tcPr>
            <w:tcW w:w="2693" w:type="dxa"/>
            <w:vAlign w:val="center"/>
          </w:tcPr>
          <w:p>
            <w:pPr>
              <w:jc w:val="center"/>
              <w:rPr>
                <w:rFonts w:ascii="宋体" w:hAnsi="宋体"/>
                <w:sz w:val="24"/>
              </w:rPr>
            </w:pPr>
            <w:r>
              <w:rPr>
                <w:rFonts w:ascii="宋体" w:hAnsi="宋体"/>
                <w:sz w:val="24"/>
              </w:rPr>
              <w:t>单位地址</w:t>
            </w:r>
          </w:p>
        </w:tc>
        <w:tc>
          <w:tcPr>
            <w:tcW w:w="5576" w:type="dxa"/>
            <w:vAlign w:val="center"/>
          </w:tcPr>
          <w:p>
            <w:pPr>
              <w:jc w:val="center"/>
              <w:rPr>
                <w:rFonts w:ascii="宋体" w:hAnsi="宋体"/>
                <w:sz w:val="24"/>
              </w:rPr>
            </w:pPr>
            <w:r>
              <w:rPr>
                <w:rFonts w:ascii="宋体" w:hAnsi="宋体"/>
                <w:sz w:val="24"/>
              </w:rPr>
              <w:t>违法行为</w:t>
            </w:r>
          </w:p>
        </w:tc>
        <w:tc>
          <w:tcPr>
            <w:tcW w:w="0" w:type="auto"/>
            <w:vAlign w:val="center"/>
          </w:tcPr>
          <w:p>
            <w:pPr>
              <w:jc w:val="center"/>
              <w:rPr>
                <w:rFonts w:ascii="宋体" w:hAnsi="宋体"/>
                <w:sz w:val="24"/>
              </w:rPr>
            </w:pPr>
            <w:r>
              <w:rPr>
                <w:rFonts w:ascii="宋体" w:hAnsi="宋体"/>
                <w:sz w:val="24"/>
              </w:rPr>
              <w:t>机构类别</w:t>
            </w:r>
          </w:p>
        </w:tc>
        <w:tc>
          <w:tcPr>
            <w:tcW w:w="0" w:type="auto"/>
            <w:vAlign w:val="center"/>
          </w:tcPr>
          <w:p>
            <w:pPr>
              <w:jc w:val="center"/>
              <w:rPr>
                <w:rFonts w:ascii="宋体" w:hAnsi="宋体"/>
                <w:sz w:val="24"/>
              </w:rPr>
            </w:pPr>
            <w:r>
              <w:rPr>
                <w:rFonts w:ascii="宋体" w:hAnsi="宋体"/>
                <w:sz w:val="24"/>
              </w:rPr>
              <w:t>处罚依据</w:t>
            </w:r>
          </w:p>
        </w:tc>
        <w:tc>
          <w:tcPr>
            <w:tcW w:w="0" w:type="auto"/>
            <w:vAlign w:val="center"/>
          </w:tcPr>
          <w:p>
            <w:pPr>
              <w:jc w:val="center"/>
              <w:rPr>
                <w:rFonts w:ascii="宋体" w:hAnsi="宋体"/>
                <w:sz w:val="24"/>
              </w:rPr>
            </w:pPr>
            <w:r>
              <w:rPr>
                <w:rFonts w:ascii="宋体" w:hAnsi="宋体"/>
                <w:sz w:val="24"/>
              </w:rPr>
              <w:t>处罚种类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68" w:type="dxa"/>
            <w:vAlign w:val="center"/>
          </w:tcPr>
          <w:p>
            <w:pPr>
              <w:jc w:val="center"/>
              <w:rPr>
                <w:rFonts w:hint="eastAsia" w:ascii="仿宋_GB2312" w:hAnsi="Times New Roman" w:eastAsia="仿宋_GB2312"/>
              </w:rPr>
            </w:pPr>
            <w:r>
              <w:rPr>
                <w:rFonts w:hint="eastAsia" w:ascii="仿宋_GB2312" w:hAnsi="Times New Roman" w:eastAsia="仿宋_GB2312"/>
              </w:rPr>
              <w:t>江门市新会新鸿达五金制品有限公司</w:t>
            </w:r>
          </w:p>
        </w:tc>
        <w:tc>
          <w:tcPr>
            <w:tcW w:w="2693" w:type="dxa"/>
            <w:vAlign w:val="center"/>
          </w:tcPr>
          <w:p>
            <w:pPr>
              <w:jc w:val="center"/>
              <w:rPr>
                <w:rFonts w:hint="eastAsia" w:ascii="仿宋_GB2312" w:hAnsi="Times New Roman" w:eastAsia="仿宋_GB2312"/>
                <w:sz w:val="24"/>
              </w:rPr>
            </w:pPr>
            <w:r>
              <w:rPr>
                <w:rFonts w:hint="eastAsia" w:ascii="仿宋_GB2312" w:hAnsi="Times New Roman" w:eastAsia="仿宋_GB2312"/>
                <w:sz w:val="24"/>
              </w:rPr>
              <w:t>江门市新会区司前镇昆仓村大略西</w:t>
            </w:r>
            <w:bookmarkStart w:id="0" w:name="_GoBack"/>
            <w:bookmarkEnd w:id="0"/>
          </w:p>
        </w:tc>
        <w:tc>
          <w:tcPr>
            <w:tcW w:w="5576" w:type="dxa"/>
            <w:vAlign w:val="center"/>
          </w:tcPr>
          <w:p>
            <w:pPr>
              <w:jc w:val="center"/>
              <w:rPr>
                <w:rFonts w:hint="eastAsia" w:ascii="仿宋_GB2312" w:eastAsia="仿宋_GB2312"/>
                <w:sz w:val="24"/>
              </w:rPr>
            </w:pPr>
            <w:r>
              <w:rPr>
                <w:rFonts w:hint="eastAsia" w:ascii="仿宋_GB2312" w:eastAsia="仿宋_GB2312"/>
                <w:sz w:val="24"/>
              </w:rPr>
              <w:t>江门市新会新鸿达五金制品有限公司未及时、如实申报产生职业病危害项目；未按规定组织劳动者进行职业卫生培训；提供的个人使用的职业病防护用品不符合国家职业卫生标准和卫生要求案</w:t>
            </w:r>
          </w:p>
        </w:tc>
        <w:tc>
          <w:tcPr>
            <w:tcW w:w="0" w:type="auto"/>
            <w:vAlign w:val="center"/>
          </w:tcPr>
          <w:p>
            <w:pPr>
              <w:rPr>
                <w:rFonts w:hint="eastAsia" w:ascii="仿宋_GB2312" w:hAnsi="Times New Roman" w:eastAsia="仿宋_GB2312"/>
                <w:sz w:val="24"/>
              </w:rPr>
            </w:pPr>
            <w:r>
              <w:rPr>
                <w:rFonts w:hint="eastAsia" w:ascii="仿宋_GB2312" w:hAnsi="Times New Roman" w:eastAsia="仿宋_GB2312"/>
                <w:sz w:val="24"/>
              </w:rPr>
              <w:t>企业</w:t>
            </w:r>
          </w:p>
        </w:tc>
        <w:tc>
          <w:tcPr>
            <w:tcW w:w="0" w:type="auto"/>
            <w:vAlign w:val="center"/>
          </w:tcPr>
          <w:p>
            <w:pPr>
              <w:jc w:val="center"/>
              <w:rPr>
                <w:rFonts w:hint="eastAsia" w:ascii="仿宋_GB2312" w:hAnsi="Times New Roman" w:eastAsia="仿宋_GB2312"/>
              </w:rPr>
            </w:pPr>
            <w:r>
              <w:rPr>
                <w:rFonts w:hint="eastAsia" w:ascii="仿宋_GB2312" w:hAnsi="Times New Roman" w:eastAsia="仿宋_GB2312"/>
              </w:rPr>
              <w:t>《职业病防治法》第七十条第（四）项、第七十一条第（一）项、第七十二条第（二）项</w:t>
            </w:r>
          </w:p>
        </w:tc>
        <w:tc>
          <w:tcPr>
            <w:tcW w:w="0" w:type="auto"/>
            <w:vAlign w:val="center"/>
          </w:tcPr>
          <w:p>
            <w:pPr>
              <w:jc w:val="center"/>
              <w:rPr>
                <w:rFonts w:hint="eastAsia" w:ascii="仿宋_GB2312" w:eastAsia="仿宋_GB2312"/>
                <w:color w:val="000000"/>
                <w:sz w:val="24"/>
              </w:rPr>
            </w:pPr>
            <w:r>
              <w:rPr>
                <w:rFonts w:hint="eastAsia" w:ascii="仿宋_GB2312" w:eastAsia="仿宋_GB2312"/>
                <w:color w:val="00000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68" w:type="dxa"/>
            <w:vAlign w:val="center"/>
          </w:tcPr>
          <w:p>
            <w:pPr>
              <w:jc w:val="center"/>
              <w:rPr>
                <w:rFonts w:hint="eastAsia" w:ascii="仿宋_GB2312" w:hAnsi="Times New Roman" w:eastAsia="仿宋_GB2312"/>
              </w:rPr>
            </w:pPr>
            <w:r>
              <w:rPr>
                <w:rFonts w:hint="eastAsia" w:ascii="仿宋_GB2312" w:hAnsi="Times New Roman" w:eastAsia="仿宋_GB2312"/>
              </w:rPr>
              <w:t>江门市新会区智友工程机械有限公司</w:t>
            </w:r>
          </w:p>
        </w:tc>
        <w:tc>
          <w:tcPr>
            <w:tcW w:w="2693" w:type="dxa"/>
            <w:vAlign w:val="center"/>
          </w:tcPr>
          <w:p>
            <w:pPr>
              <w:jc w:val="center"/>
              <w:rPr>
                <w:rFonts w:hint="eastAsia" w:ascii="仿宋_GB2312" w:hAnsi="Times New Roman" w:eastAsia="仿宋_GB2312"/>
                <w:sz w:val="24"/>
              </w:rPr>
            </w:pPr>
            <w:r>
              <w:rPr>
                <w:rFonts w:hint="eastAsia" w:ascii="仿宋_GB2312" w:hAnsi="Times New Roman" w:eastAsia="仿宋_GB2312"/>
                <w:sz w:val="24"/>
              </w:rPr>
              <w:t>江门市新会区崖门镇甜水仓山村</w:t>
            </w:r>
          </w:p>
        </w:tc>
        <w:tc>
          <w:tcPr>
            <w:tcW w:w="5576" w:type="dxa"/>
            <w:vAlign w:val="center"/>
          </w:tcPr>
          <w:p>
            <w:pPr>
              <w:jc w:val="center"/>
              <w:rPr>
                <w:rFonts w:hint="eastAsia" w:ascii="仿宋_GB2312" w:eastAsia="仿宋_GB2312"/>
                <w:sz w:val="24"/>
              </w:rPr>
            </w:pPr>
            <w:r>
              <w:rPr>
                <w:rFonts w:hint="eastAsia" w:ascii="仿宋_GB2312" w:eastAsia="仿宋_GB2312"/>
                <w:sz w:val="24"/>
              </w:rPr>
              <w:t>江门市新会区智友工程机械有限公司未按照规定组织职业健康检查、未为劳动者提供个人使用的职业病防护用品案</w:t>
            </w:r>
          </w:p>
        </w:tc>
        <w:tc>
          <w:tcPr>
            <w:tcW w:w="0" w:type="auto"/>
            <w:vAlign w:val="center"/>
          </w:tcPr>
          <w:p>
            <w:pPr>
              <w:rPr>
                <w:rFonts w:hint="eastAsia" w:ascii="仿宋_GB2312" w:hAnsi="Times New Roman" w:eastAsia="仿宋_GB2312"/>
                <w:sz w:val="24"/>
              </w:rPr>
            </w:pPr>
            <w:r>
              <w:rPr>
                <w:rFonts w:hint="eastAsia" w:ascii="仿宋_GB2312" w:hAnsi="Times New Roman" w:eastAsia="仿宋_GB2312"/>
                <w:sz w:val="24"/>
              </w:rPr>
              <w:t>企业</w:t>
            </w:r>
          </w:p>
        </w:tc>
        <w:tc>
          <w:tcPr>
            <w:tcW w:w="0" w:type="auto"/>
            <w:vAlign w:val="center"/>
          </w:tcPr>
          <w:p>
            <w:pPr>
              <w:jc w:val="center"/>
              <w:rPr>
                <w:rFonts w:hint="eastAsia" w:ascii="仿宋_GB2312" w:hAnsi="Times New Roman" w:eastAsia="仿宋_GB2312"/>
              </w:rPr>
            </w:pPr>
            <w:r>
              <w:rPr>
                <w:rFonts w:hint="eastAsia" w:ascii="仿宋_GB2312" w:hAnsi="Times New Roman" w:eastAsia="仿宋_GB2312"/>
              </w:rPr>
              <w:t>《中华人民共和国职业病防治法》第七十二条第（二）项、第七十一条第（四）项</w:t>
            </w:r>
          </w:p>
        </w:tc>
        <w:tc>
          <w:tcPr>
            <w:tcW w:w="0" w:type="auto"/>
            <w:vAlign w:val="center"/>
          </w:tcPr>
          <w:p>
            <w:pPr>
              <w:jc w:val="center"/>
              <w:rPr>
                <w:rFonts w:hint="eastAsia" w:ascii="仿宋_GB2312" w:eastAsia="仿宋_GB2312"/>
                <w:color w:val="000000"/>
                <w:sz w:val="24"/>
              </w:rPr>
            </w:pPr>
            <w:r>
              <w:rPr>
                <w:rFonts w:hint="eastAsia" w:ascii="仿宋_GB2312" w:eastAsia="仿宋_GB2312"/>
                <w:color w:val="000000"/>
                <w:sz w:val="24"/>
              </w:rPr>
              <w:t>警告并处罚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68" w:type="dxa"/>
            <w:vAlign w:val="center"/>
          </w:tcPr>
          <w:p>
            <w:pPr>
              <w:jc w:val="center"/>
              <w:rPr>
                <w:rFonts w:hint="eastAsia" w:ascii="仿宋_GB2312" w:hAnsi="Times New Roman" w:eastAsia="仿宋_GB2312"/>
              </w:rPr>
            </w:pPr>
            <w:r>
              <w:rPr>
                <w:rFonts w:hint="eastAsia" w:ascii="仿宋_GB2312" w:hAnsi="Times New Roman" w:eastAsia="仿宋_GB2312"/>
              </w:rPr>
              <w:t>宝豪塑胶五金制品（江门）有限公司</w:t>
            </w:r>
          </w:p>
        </w:tc>
        <w:tc>
          <w:tcPr>
            <w:tcW w:w="2693" w:type="dxa"/>
            <w:vAlign w:val="center"/>
          </w:tcPr>
          <w:p>
            <w:pPr>
              <w:jc w:val="center"/>
              <w:rPr>
                <w:rFonts w:hint="eastAsia" w:ascii="仿宋_GB2312" w:hAnsi="Times New Roman" w:eastAsia="仿宋_GB2312"/>
                <w:sz w:val="24"/>
              </w:rPr>
            </w:pPr>
            <w:r>
              <w:rPr>
                <w:rFonts w:hint="eastAsia" w:ascii="仿宋_GB2312" w:hAnsi="Times New Roman" w:eastAsia="仿宋_GB2312"/>
                <w:sz w:val="24"/>
              </w:rPr>
              <w:t>江门市新会区今古洲经济开发试验区T2-07</w:t>
            </w:r>
          </w:p>
        </w:tc>
        <w:tc>
          <w:tcPr>
            <w:tcW w:w="5576" w:type="dxa"/>
            <w:vAlign w:val="center"/>
          </w:tcPr>
          <w:p>
            <w:pPr>
              <w:jc w:val="center"/>
              <w:rPr>
                <w:rFonts w:hint="eastAsia" w:ascii="仿宋_GB2312" w:eastAsia="仿宋_GB2312"/>
                <w:sz w:val="24"/>
              </w:rPr>
            </w:pPr>
            <w:r>
              <w:rPr>
                <w:rFonts w:hint="eastAsia" w:ascii="仿宋_GB2312" w:eastAsia="仿宋_GB2312"/>
                <w:sz w:val="24"/>
              </w:rPr>
              <w:t>宝豪塑胶五金制品（江门）有限公司未按照规定组织职业健康检查、未为劳动者提供个人使用的职业病防护用品案</w:t>
            </w:r>
          </w:p>
        </w:tc>
        <w:tc>
          <w:tcPr>
            <w:tcW w:w="0" w:type="auto"/>
            <w:vAlign w:val="center"/>
          </w:tcPr>
          <w:p>
            <w:pPr>
              <w:rPr>
                <w:rFonts w:hint="eastAsia" w:ascii="仿宋_GB2312" w:hAnsi="Times New Roman" w:eastAsia="仿宋_GB2312"/>
                <w:sz w:val="24"/>
              </w:rPr>
            </w:pPr>
            <w:r>
              <w:rPr>
                <w:rFonts w:hint="eastAsia" w:ascii="仿宋_GB2312" w:hAnsi="Times New Roman" w:eastAsia="仿宋_GB2312"/>
                <w:sz w:val="24"/>
              </w:rPr>
              <w:t>企业</w:t>
            </w:r>
          </w:p>
        </w:tc>
        <w:tc>
          <w:tcPr>
            <w:tcW w:w="0" w:type="auto"/>
            <w:vAlign w:val="center"/>
          </w:tcPr>
          <w:p>
            <w:pPr>
              <w:jc w:val="center"/>
              <w:rPr>
                <w:rFonts w:ascii="Times New Roman" w:hAnsi="Times New Roman"/>
                <w:sz w:val="24"/>
              </w:rPr>
            </w:pPr>
            <w:r>
              <w:rPr>
                <w:rFonts w:hint="eastAsia" w:ascii="仿宋_GB2312" w:hAnsi="Times New Roman" w:eastAsia="仿宋_GB2312"/>
              </w:rPr>
              <w:t>《中华人民共和国职业病防治法》第七十二条第（二）项、第七十一条第（四）项</w:t>
            </w:r>
          </w:p>
          <w:p>
            <w:pPr>
              <w:jc w:val="center"/>
              <w:rPr>
                <w:rFonts w:hint="eastAsia" w:ascii="仿宋_GB2312" w:hAnsi="Times New Roman" w:eastAsia="仿宋_GB2312"/>
              </w:rPr>
            </w:pPr>
          </w:p>
        </w:tc>
        <w:tc>
          <w:tcPr>
            <w:tcW w:w="0" w:type="auto"/>
            <w:vAlign w:val="center"/>
          </w:tcPr>
          <w:p>
            <w:pPr>
              <w:jc w:val="center"/>
              <w:rPr>
                <w:rFonts w:hint="eastAsia" w:ascii="仿宋_GB2312" w:eastAsia="仿宋_GB2312"/>
                <w:sz w:val="24"/>
              </w:rPr>
            </w:pPr>
            <w:r>
              <w:rPr>
                <w:rFonts w:hint="eastAsia" w:ascii="仿宋_GB2312" w:eastAsia="仿宋_GB2312"/>
                <w:sz w:val="24"/>
              </w:rPr>
              <w:t>警告并处罚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68" w:type="dxa"/>
            <w:vAlign w:val="center"/>
          </w:tcPr>
          <w:p>
            <w:pPr>
              <w:jc w:val="center"/>
              <w:rPr>
                <w:rFonts w:hint="eastAsia" w:ascii="仿宋_GB2312" w:hAnsi="Times New Roman" w:eastAsia="仿宋_GB2312"/>
              </w:rPr>
            </w:pPr>
            <w:r>
              <w:rPr>
                <w:rFonts w:hint="eastAsia" w:ascii="仿宋_GB2312" w:hAnsi="Times New Roman" w:eastAsia="仿宋_GB2312"/>
              </w:rPr>
              <w:t>江门市航浚钢结构工程有限公司</w:t>
            </w:r>
          </w:p>
        </w:tc>
        <w:tc>
          <w:tcPr>
            <w:tcW w:w="2693" w:type="dxa"/>
            <w:vAlign w:val="center"/>
          </w:tcPr>
          <w:p>
            <w:pPr>
              <w:jc w:val="center"/>
              <w:rPr>
                <w:rFonts w:hint="eastAsia" w:ascii="仿宋_GB2312" w:hAnsi="Times New Roman" w:eastAsia="仿宋_GB2312"/>
                <w:sz w:val="24"/>
              </w:rPr>
            </w:pPr>
            <w:r>
              <w:rPr>
                <w:rFonts w:hint="eastAsia" w:ascii="仿宋_GB2312" w:hAnsi="Times New Roman" w:eastAsia="仿宋_GB2312"/>
                <w:sz w:val="24"/>
              </w:rPr>
              <w:t>江门市新会区古井镇民生街九幢三楼</w:t>
            </w:r>
          </w:p>
        </w:tc>
        <w:tc>
          <w:tcPr>
            <w:tcW w:w="5576" w:type="dxa"/>
            <w:vAlign w:val="center"/>
          </w:tcPr>
          <w:p>
            <w:pPr>
              <w:jc w:val="center"/>
              <w:rPr>
                <w:rFonts w:hint="eastAsia" w:ascii="仿宋_GB2312" w:eastAsia="仿宋_GB2312"/>
                <w:sz w:val="24"/>
              </w:rPr>
            </w:pPr>
            <w:r>
              <w:rPr>
                <w:rFonts w:hint="eastAsia" w:ascii="仿宋_GB2312" w:eastAsia="仿宋_GB2312"/>
                <w:sz w:val="24"/>
              </w:rPr>
              <w:t>江门市航浚钢结构工程有限公司未及时、如实申报产生职业病危害项目案</w:t>
            </w:r>
          </w:p>
        </w:tc>
        <w:tc>
          <w:tcPr>
            <w:tcW w:w="0" w:type="auto"/>
            <w:vAlign w:val="center"/>
          </w:tcPr>
          <w:p>
            <w:pPr>
              <w:rPr>
                <w:rFonts w:hint="eastAsia" w:ascii="仿宋_GB2312" w:hAnsi="Times New Roman" w:eastAsia="仿宋_GB2312"/>
                <w:sz w:val="24"/>
              </w:rPr>
            </w:pPr>
            <w:r>
              <w:rPr>
                <w:rFonts w:hint="eastAsia" w:ascii="仿宋_GB2312" w:hAnsi="Times New Roman" w:eastAsia="仿宋_GB2312"/>
                <w:sz w:val="24"/>
              </w:rPr>
              <w:t>企业</w:t>
            </w:r>
          </w:p>
        </w:tc>
        <w:tc>
          <w:tcPr>
            <w:tcW w:w="0" w:type="auto"/>
            <w:vAlign w:val="center"/>
          </w:tcPr>
          <w:p>
            <w:pPr>
              <w:jc w:val="center"/>
              <w:rPr>
                <w:rFonts w:ascii="仿宋_GB2312" w:hAnsi="宋体" w:eastAsia="仿宋_GB2312" w:cs="宋体"/>
                <w:sz w:val="24"/>
              </w:rPr>
            </w:pPr>
            <w:r>
              <w:rPr>
                <w:rFonts w:hint="eastAsia" w:ascii="仿宋_GB2312" w:eastAsia="仿宋_GB2312"/>
              </w:rPr>
              <w:t>《职业病防治法》第七十一条第（一）项</w:t>
            </w:r>
          </w:p>
          <w:p>
            <w:pPr>
              <w:jc w:val="center"/>
              <w:rPr>
                <w:rFonts w:hint="eastAsia" w:ascii="仿宋_GB2312" w:hAnsi="Times New Roman" w:eastAsia="仿宋_GB2312"/>
              </w:rPr>
            </w:pPr>
          </w:p>
        </w:tc>
        <w:tc>
          <w:tcPr>
            <w:tcW w:w="0" w:type="auto"/>
            <w:vAlign w:val="center"/>
          </w:tcPr>
          <w:p>
            <w:pPr>
              <w:jc w:val="center"/>
              <w:rPr>
                <w:rFonts w:hint="eastAsia" w:ascii="仿宋_GB2312" w:eastAsia="仿宋_GB2312"/>
                <w:sz w:val="24"/>
              </w:rPr>
            </w:pPr>
            <w:r>
              <w:rPr>
                <w:rFonts w:hint="eastAsia" w:ascii="仿宋_GB2312" w:eastAsia="仿宋_GB2312"/>
                <w:sz w:val="24"/>
              </w:rPr>
              <w:t>警告</w:t>
            </w:r>
          </w:p>
        </w:tc>
      </w:tr>
    </w:tbl>
    <w:p>
      <w:pPr>
        <w:rPr>
          <w:rFonts w:hint="eastAsia" w:ascii="Times New Roman" w:hAnsi="Times New Roman"/>
        </w:rPr>
      </w:pPr>
    </w:p>
    <w:p>
      <w:pPr>
        <w:rPr>
          <w:rFonts w:hint="eastAsia" w:ascii="Times New Roman" w:hAnsi="Times New Roman"/>
        </w:rPr>
      </w:pPr>
    </w:p>
    <w:p>
      <w:pPr>
        <w:rPr>
          <w:rFonts w:hint="eastAsia" w:ascii="Times New Roman" w:hAnsi="Times New Roman"/>
        </w:rPr>
      </w:pPr>
    </w:p>
    <w:p>
      <w:pPr>
        <w:numPr>
          <w:ilvl w:val="0"/>
          <w:numId w:val="1"/>
        </w:numPr>
        <w:rPr>
          <w:rFonts w:ascii="Times New Roman" w:hAnsi="Times New Roman"/>
        </w:rPr>
      </w:pPr>
      <w:r>
        <w:rPr>
          <w:rFonts w:ascii="Times New Roman"/>
        </w:rPr>
        <w:t>非法行医查处信息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835"/>
        <w:gridCol w:w="84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rFonts w:ascii="Times New Roman" w:hAnsi="Times New Roman"/>
                <w:sz w:val="24"/>
              </w:rPr>
            </w:pPr>
            <w:r>
              <w:rPr>
                <w:rFonts w:ascii="Times New Roman"/>
                <w:sz w:val="24"/>
              </w:rPr>
              <w:t>非法行医人员</w:t>
            </w:r>
          </w:p>
        </w:tc>
        <w:tc>
          <w:tcPr>
            <w:tcW w:w="2835" w:type="dxa"/>
            <w:vAlign w:val="center"/>
          </w:tcPr>
          <w:p>
            <w:pPr>
              <w:jc w:val="center"/>
              <w:rPr>
                <w:rFonts w:ascii="Times New Roman" w:hAnsi="Times New Roman"/>
                <w:sz w:val="24"/>
              </w:rPr>
            </w:pPr>
            <w:r>
              <w:rPr>
                <w:rFonts w:ascii="Times New Roman"/>
                <w:sz w:val="24"/>
              </w:rPr>
              <w:t>违法地点</w:t>
            </w:r>
          </w:p>
        </w:tc>
        <w:tc>
          <w:tcPr>
            <w:tcW w:w="8419" w:type="dxa"/>
            <w:vAlign w:val="center"/>
          </w:tcPr>
          <w:p>
            <w:pPr>
              <w:jc w:val="center"/>
              <w:rPr>
                <w:rFonts w:ascii="Times New Roman" w:hAnsi="Times New Roman"/>
                <w:sz w:val="24"/>
              </w:rPr>
            </w:pPr>
            <w:r>
              <w:rPr>
                <w:rFonts w:ascii="Times New Roman"/>
                <w:sz w:val="24"/>
              </w:rPr>
              <w:t>违法行为</w:t>
            </w:r>
          </w:p>
        </w:tc>
        <w:tc>
          <w:tcPr>
            <w:tcW w:w="0" w:type="auto"/>
            <w:vAlign w:val="center"/>
          </w:tcPr>
          <w:p>
            <w:pPr>
              <w:jc w:val="center"/>
              <w:rPr>
                <w:rFonts w:ascii="Times New Roman" w:hAnsi="Times New Roman"/>
                <w:sz w:val="24"/>
              </w:rPr>
            </w:pPr>
            <w:r>
              <w:rPr>
                <w:rFonts w:ascii="Times New Roman"/>
                <w:sz w:val="24"/>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rFonts w:hint="eastAsia" w:ascii="仿宋_GB2312" w:hAnsi="Times New Roman" w:eastAsia="仿宋_GB2312"/>
              </w:rPr>
            </w:pPr>
            <w:r>
              <w:rPr>
                <w:rFonts w:hint="eastAsia" w:ascii="仿宋_GB2312" w:hAnsi="Times New Roman" w:eastAsia="仿宋_GB2312"/>
              </w:rPr>
              <w:t>江门新会瑶美口腔诊所</w:t>
            </w:r>
          </w:p>
        </w:tc>
        <w:tc>
          <w:tcPr>
            <w:tcW w:w="2835" w:type="dxa"/>
            <w:vAlign w:val="center"/>
          </w:tcPr>
          <w:p>
            <w:pPr>
              <w:jc w:val="center"/>
              <w:rPr>
                <w:rFonts w:hint="eastAsia" w:ascii="仿宋_GB2312" w:hAnsi="Times New Roman" w:eastAsia="仿宋_GB2312"/>
              </w:rPr>
            </w:pPr>
            <w:r>
              <w:rPr>
                <w:rFonts w:hint="eastAsia" w:ascii="仿宋_GB2312" w:hAnsi="Times New Roman" w:eastAsia="仿宋_GB2312"/>
                <w:sz w:val="24"/>
              </w:rPr>
              <w:t>江门市新会区会城中心南路28号108、108-1</w:t>
            </w:r>
          </w:p>
        </w:tc>
        <w:tc>
          <w:tcPr>
            <w:tcW w:w="8419" w:type="dxa"/>
            <w:vAlign w:val="center"/>
          </w:tcPr>
          <w:p>
            <w:pPr>
              <w:jc w:val="center"/>
              <w:rPr>
                <w:rFonts w:hint="eastAsia" w:ascii="仿宋_GB2312" w:hAnsi="Times New Roman" w:eastAsia="仿宋_GB2312"/>
              </w:rPr>
            </w:pPr>
            <w:r>
              <w:rPr>
                <w:rFonts w:hint="eastAsia" w:ascii="仿宋_GB2312" w:eastAsia="仿宋_GB2312"/>
                <w:sz w:val="24"/>
              </w:rPr>
              <w:t>江门新会瑶美口腔诊所未取得放射诊疗许可从事放射诊疗工作案</w:t>
            </w:r>
          </w:p>
        </w:tc>
        <w:tc>
          <w:tcPr>
            <w:tcW w:w="0" w:type="auto"/>
            <w:vAlign w:val="center"/>
          </w:tcPr>
          <w:p>
            <w:pPr>
              <w:jc w:val="center"/>
              <w:rPr>
                <w:rFonts w:hint="eastAsia" w:ascii="Times New Roman" w:hAnsi="Times New Roman" w:eastAsia="仿宋_GB2312"/>
                <w:sz w:val="24"/>
              </w:rPr>
            </w:pPr>
            <w:r>
              <w:rPr>
                <w:rFonts w:hint="eastAsia" w:ascii="仿宋_GB2312" w:eastAsia="仿宋_GB2312"/>
                <w:color w:val="000000"/>
                <w:sz w:val="24"/>
              </w:rPr>
              <w:t>警告并处罚款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rFonts w:hint="eastAsia" w:ascii="仿宋_GB2312" w:hAnsi="Times New Roman" w:eastAsia="仿宋_GB2312"/>
              </w:rPr>
            </w:pPr>
            <w:r>
              <w:rPr>
                <w:rFonts w:hint="eastAsia" w:ascii="仿宋_GB2312" w:hAnsi="Times New Roman" w:eastAsia="仿宋_GB2312"/>
              </w:rPr>
              <w:t>江门新会壹心维美口腔门诊部</w:t>
            </w:r>
          </w:p>
        </w:tc>
        <w:tc>
          <w:tcPr>
            <w:tcW w:w="2835" w:type="dxa"/>
            <w:vAlign w:val="center"/>
          </w:tcPr>
          <w:p>
            <w:pPr>
              <w:jc w:val="center"/>
              <w:rPr>
                <w:rFonts w:hint="eastAsia" w:ascii="仿宋_GB2312" w:hAnsi="Times New Roman" w:eastAsia="仿宋_GB2312"/>
              </w:rPr>
            </w:pPr>
            <w:r>
              <w:rPr>
                <w:rFonts w:hint="eastAsia" w:ascii="仿宋_GB2312" w:hAnsi="Times New Roman" w:eastAsia="仿宋_GB2312"/>
                <w:sz w:val="24"/>
              </w:rPr>
              <w:t>江门市新会区会城冈州大道中3号107-115</w:t>
            </w:r>
          </w:p>
        </w:tc>
        <w:tc>
          <w:tcPr>
            <w:tcW w:w="8419" w:type="dxa"/>
            <w:vAlign w:val="center"/>
          </w:tcPr>
          <w:p>
            <w:pPr>
              <w:jc w:val="center"/>
              <w:rPr>
                <w:rFonts w:hint="eastAsia" w:ascii="仿宋_GB2312" w:hAnsi="Times New Roman" w:eastAsia="仿宋_GB2312"/>
              </w:rPr>
            </w:pPr>
            <w:r>
              <w:rPr>
                <w:rFonts w:hint="eastAsia" w:ascii="仿宋_GB2312" w:eastAsia="仿宋_GB2312"/>
                <w:sz w:val="24"/>
              </w:rPr>
              <w:t>江门新会壹心维美口腔门诊部未取得放射诊疗许可从事放射诊疗工作案</w:t>
            </w:r>
          </w:p>
        </w:tc>
        <w:tc>
          <w:tcPr>
            <w:tcW w:w="0" w:type="auto"/>
            <w:vAlign w:val="center"/>
          </w:tcPr>
          <w:p>
            <w:pPr>
              <w:jc w:val="center"/>
              <w:rPr>
                <w:rFonts w:hint="eastAsia" w:ascii="Times New Roman" w:hAnsi="Times New Roman" w:eastAsia="仿宋_GB2312"/>
                <w:sz w:val="24"/>
              </w:rPr>
            </w:pPr>
            <w:r>
              <w:rPr>
                <w:rFonts w:hint="eastAsia" w:ascii="仿宋_GB2312" w:eastAsia="仿宋_GB2312"/>
                <w:color w:val="000000"/>
                <w:sz w:val="24"/>
              </w:rPr>
              <w:t>警告并处罚款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jc w:val="center"/>
              <w:rPr>
                <w:rFonts w:hint="eastAsia" w:ascii="仿宋_GB2312" w:hAnsi="Times New Roman" w:eastAsia="仿宋_GB2312"/>
              </w:rPr>
            </w:pPr>
            <w:r>
              <w:rPr>
                <w:rFonts w:hint="eastAsia" w:ascii="仿宋_GB2312" w:hAnsi="Times New Roman" w:eastAsia="仿宋_GB2312"/>
              </w:rPr>
              <w:t>蔡庆</w:t>
            </w:r>
          </w:p>
        </w:tc>
        <w:tc>
          <w:tcPr>
            <w:tcW w:w="2835" w:type="dxa"/>
            <w:vAlign w:val="center"/>
          </w:tcPr>
          <w:p>
            <w:pPr>
              <w:jc w:val="center"/>
              <w:rPr>
                <w:rFonts w:hint="eastAsia" w:ascii="Times New Roman" w:hAnsi="Times New Roman" w:eastAsia="仿宋_GB2312"/>
                <w:sz w:val="24"/>
              </w:rPr>
            </w:pPr>
            <w:r>
              <w:rPr>
                <w:rFonts w:hint="eastAsia" w:ascii="Times New Roman" w:hAnsi="Times New Roman" w:eastAsia="仿宋_GB2312"/>
                <w:bCs/>
                <w:sz w:val="24"/>
              </w:rPr>
              <w:t>江门市新会区司前镇中心街中心大厦23号铺位</w:t>
            </w:r>
          </w:p>
        </w:tc>
        <w:tc>
          <w:tcPr>
            <w:tcW w:w="8419" w:type="dxa"/>
            <w:vAlign w:val="center"/>
          </w:tcPr>
          <w:p>
            <w:pPr>
              <w:jc w:val="center"/>
              <w:rPr>
                <w:rFonts w:ascii="仿宋_GB2312" w:hAnsi="宋体" w:eastAsia="仿宋_GB2312" w:cs="宋体"/>
                <w:sz w:val="24"/>
              </w:rPr>
            </w:pPr>
            <w:r>
              <w:rPr>
                <w:rFonts w:hint="eastAsia" w:ascii="仿宋_GB2312" w:eastAsia="仿宋_GB2312"/>
              </w:rPr>
              <w:t>蔡庆未取得《医疗机构执业许可证》擅自开展口腔科诊疗活动案</w:t>
            </w:r>
          </w:p>
          <w:p>
            <w:pPr>
              <w:jc w:val="center"/>
              <w:rPr>
                <w:rFonts w:hint="eastAsia" w:ascii="仿宋_GB2312" w:hAnsi="Times New Roman" w:eastAsia="仿宋_GB2312"/>
              </w:rPr>
            </w:pPr>
          </w:p>
        </w:tc>
        <w:tc>
          <w:tcPr>
            <w:tcW w:w="0" w:type="auto"/>
            <w:vAlign w:val="center"/>
          </w:tcPr>
          <w:p>
            <w:pPr>
              <w:jc w:val="center"/>
              <w:rPr>
                <w:rFonts w:hint="eastAsia" w:ascii="仿宋_GB2312" w:hAnsi="Times New Roman" w:eastAsia="仿宋_GB2312"/>
              </w:rPr>
            </w:pPr>
            <w:r>
              <w:rPr>
                <w:rFonts w:hint="eastAsia" w:ascii="仿宋_GB2312" w:eastAsia="仿宋_GB2312"/>
                <w:sz w:val="24"/>
              </w:rPr>
              <w:t>没收药品器械并处罚款</w:t>
            </w:r>
          </w:p>
        </w:tc>
      </w:tr>
    </w:tbl>
    <w:p>
      <w:pPr>
        <w:rPr>
          <w:rFonts w:hint="eastAsia"/>
          <w:sz w:val="24"/>
        </w:rPr>
      </w:pPr>
    </w:p>
    <w:p>
      <w:pPr>
        <w:rPr>
          <w:rFonts w:hint="eastAsia"/>
          <w:sz w:val="24"/>
        </w:rPr>
      </w:pPr>
    </w:p>
    <w:p>
      <w:pPr>
        <w:numPr>
          <w:ilvl w:val="0"/>
          <w:numId w:val="1"/>
        </w:numPr>
        <w:rPr>
          <w:rFonts w:hint="eastAsia"/>
        </w:rPr>
      </w:pPr>
      <w:r>
        <w:rPr>
          <w:rFonts w:hint="eastAsia"/>
        </w:rPr>
        <w:t>违法违规执业医疗机构黑名单信息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rPr>
                <w:rFonts w:hint="eastAsia"/>
              </w:rPr>
            </w:pPr>
            <w:r>
              <w:rPr>
                <w:rFonts w:hint="eastAsia"/>
              </w:rPr>
              <w:t>单位名称</w:t>
            </w:r>
          </w:p>
        </w:tc>
        <w:tc>
          <w:tcPr>
            <w:tcW w:w="2362" w:type="dxa"/>
          </w:tcPr>
          <w:p>
            <w:pPr>
              <w:rPr>
                <w:rFonts w:hint="eastAsia"/>
              </w:rPr>
            </w:pPr>
            <w:r>
              <w:rPr>
                <w:rFonts w:hint="eastAsia"/>
              </w:rPr>
              <w:t>单位地址</w:t>
            </w:r>
          </w:p>
        </w:tc>
        <w:tc>
          <w:tcPr>
            <w:tcW w:w="2362" w:type="dxa"/>
          </w:tcPr>
          <w:p>
            <w:pPr>
              <w:rPr>
                <w:rFonts w:hint="eastAsia"/>
              </w:rPr>
            </w:pPr>
            <w:r>
              <w:rPr>
                <w:rFonts w:hint="eastAsia"/>
              </w:rPr>
              <w:t>违法行为</w:t>
            </w:r>
          </w:p>
        </w:tc>
        <w:tc>
          <w:tcPr>
            <w:tcW w:w="2362" w:type="dxa"/>
          </w:tcPr>
          <w:p>
            <w:pPr>
              <w:rPr>
                <w:rFonts w:hint="eastAsia"/>
              </w:rPr>
            </w:pPr>
            <w:r>
              <w:rPr>
                <w:rFonts w:hint="eastAsia"/>
              </w:rPr>
              <w:t>机构类别</w:t>
            </w:r>
          </w:p>
        </w:tc>
        <w:tc>
          <w:tcPr>
            <w:tcW w:w="2363" w:type="dxa"/>
          </w:tcPr>
          <w:p>
            <w:pPr>
              <w:rPr>
                <w:rFonts w:hint="eastAsia"/>
              </w:rPr>
            </w:pPr>
            <w:r>
              <w:rPr>
                <w:rFonts w:hint="eastAsia"/>
              </w:rPr>
              <w:t>纳入依据</w:t>
            </w:r>
          </w:p>
        </w:tc>
        <w:tc>
          <w:tcPr>
            <w:tcW w:w="2363" w:type="dxa"/>
          </w:tcPr>
          <w:p>
            <w:pPr>
              <w:rPr>
                <w:rFonts w:hint="eastAsia"/>
              </w:rPr>
            </w:pPr>
            <w:r>
              <w:rPr>
                <w:rFonts w:hint="eastAsia"/>
              </w:rPr>
              <w:t>不良执业行为记分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62" w:type="dxa"/>
          </w:tcPr>
          <w:p>
            <w:pPr>
              <w:rPr>
                <w:rFonts w:hint="eastAsia" w:ascii="宋体" w:hAnsi="宋体" w:cs="宋体"/>
                <w:sz w:val="20"/>
                <w:szCs w:val="20"/>
              </w:rPr>
            </w:pPr>
            <w:r>
              <w:rPr>
                <w:rFonts w:hint="eastAsia"/>
                <w:sz w:val="20"/>
                <w:szCs w:val="20"/>
              </w:rPr>
              <w:t>无</w:t>
            </w:r>
          </w:p>
        </w:tc>
        <w:tc>
          <w:tcPr>
            <w:tcW w:w="2362" w:type="dxa"/>
          </w:tcPr>
          <w:p>
            <w:pPr>
              <w:rPr>
                <w:rFonts w:hint="eastAsia"/>
              </w:rPr>
            </w:pPr>
          </w:p>
        </w:tc>
        <w:tc>
          <w:tcPr>
            <w:tcW w:w="2362" w:type="dxa"/>
          </w:tcPr>
          <w:p>
            <w:pPr>
              <w:rPr>
                <w:rFonts w:hint="eastAsia"/>
              </w:rPr>
            </w:pPr>
          </w:p>
        </w:tc>
        <w:tc>
          <w:tcPr>
            <w:tcW w:w="2362" w:type="dxa"/>
          </w:tcPr>
          <w:p>
            <w:pPr>
              <w:rPr>
                <w:rFonts w:hint="eastAsia"/>
              </w:rPr>
            </w:pPr>
          </w:p>
        </w:tc>
        <w:tc>
          <w:tcPr>
            <w:tcW w:w="2363" w:type="dxa"/>
          </w:tcPr>
          <w:p>
            <w:pPr>
              <w:rPr>
                <w:rFonts w:hint="eastAsia"/>
              </w:rPr>
            </w:pPr>
          </w:p>
        </w:tc>
        <w:tc>
          <w:tcPr>
            <w:tcW w:w="2363" w:type="dxa"/>
          </w:tcPr>
          <w:p>
            <w:pPr>
              <w:rPr>
                <w:rFonts w:hint="eastAsia"/>
              </w:rPr>
            </w:pPr>
          </w:p>
        </w:tc>
      </w:tr>
    </w:tbl>
    <w:p>
      <w:pPr>
        <w:rPr>
          <w:rFonts w:hint="eastAsia"/>
        </w:rPr>
      </w:pPr>
    </w:p>
    <w:p>
      <w:pPr>
        <w:rPr>
          <w:rFonts w:hint="eastAsia"/>
        </w:rPr>
      </w:pPr>
    </w:p>
    <w:p>
      <w:pPr>
        <w:numPr>
          <w:ilvl w:val="0"/>
          <w:numId w:val="1"/>
        </w:numPr>
        <w:rPr>
          <w:rFonts w:hint="eastAsia"/>
        </w:rPr>
      </w:pPr>
      <w:r>
        <w:rPr>
          <w:rFonts w:hint="eastAsia"/>
        </w:rPr>
        <w:t>医疗机构不良执业行为记分信息</w:t>
      </w:r>
    </w:p>
    <w:p>
      <w:pPr>
        <w:rPr>
          <w:rFonts w:hint="eastAsia"/>
        </w:rPr>
      </w:pP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2215"/>
        <w:gridCol w:w="3415"/>
        <w:gridCol w:w="1193"/>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0" w:type="auto"/>
            <w:vAlign w:val="center"/>
          </w:tcPr>
          <w:p>
            <w:pPr>
              <w:jc w:val="center"/>
              <w:rPr>
                <w:rFonts w:hint="eastAsia"/>
              </w:rPr>
            </w:pPr>
            <w:r>
              <w:rPr>
                <w:rFonts w:hint="eastAsia"/>
              </w:rPr>
              <w:t>单位名称</w:t>
            </w:r>
          </w:p>
        </w:tc>
        <w:tc>
          <w:tcPr>
            <w:tcW w:w="0" w:type="auto"/>
            <w:vAlign w:val="center"/>
          </w:tcPr>
          <w:p>
            <w:pPr>
              <w:jc w:val="center"/>
              <w:rPr>
                <w:rFonts w:hint="eastAsia"/>
              </w:rPr>
            </w:pPr>
            <w:r>
              <w:rPr>
                <w:rFonts w:hint="eastAsia"/>
              </w:rPr>
              <w:t>地址</w:t>
            </w:r>
          </w:p>
        </w:tc>
        <w:tc>
          <w:tcPr>
            <w:tcW w:w="0" w:type="auto"/>
            <w:vAlign w:val="center"/>
          </w:tcPr>
          <w:p>
            <w:pPr>
              <w:jc w:val="center"/>
              <w:rPr>
                <w:rFonts w:hint="eastAsia"/>
              </w:rPr>
            </w:pPr>
            <w:r>
              <w:rPr>
                <w:rFonts w:hint="eastAsia"/>
              </w:rPr>
              <w:t>记分原因</w:t>
            </w:r>
          </w:p>
        </w:tc>
        <w:tc>
          <w:tcPr>
            <w:tcW w:w="1193" w:type="dxa"/>
            <w:vAlign w:val="center"/>
          </w:tcPr>
          <w:p>
            <w:pPr>
              <w:jc w:val="center"/>
              <w:rPr>
                <w:rFonts w:hint="eastAsia"/>
              </w:rPr>
            </w:pPr>
            <w:r>
              <w:rPr>
                <w:rFonts w:hint="eastAsia"/>
              </w:rPr>
              <w:t>记分分值</w:t>
            </w:r>
          </w:p>
        </w:tc>
        <w:tc>
          <w:tcPr>
            <w:tcW w:w="5136" w:type="dxa"/>
            <w:vAlign w:val="center"/>
          </w:tcPr>
          <w:p>
            <w:pPr>
              <w:jc w:val="center"/>
              <w:rPr>
                <w:rFonts w:hint="eastAsia"/>
              </w:rPr>
            </w:pPr>
            <w:r>
              <w:rPr>
                <w:rFonts w:hint="eastAsia"/>
              </w:rPr>
              <w:t>记分依据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江门新会瑶美口腔诊所</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江门市新会区会城中心南路28号108、108-1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违反放射诊疗相关规定和要求的</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w:t>
            </w:r>
          </w:p>
        </w:tc>
        <w:tc>
          <w:tcPr>
            <w:tcW w:w="513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《广东省卫生厅关于医疗机构不良执业行为记分的试行管理办法》第七条第（五）项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江门新会壹心维美口腔门诊部</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江门市新会区会城冈州大道中3号107-115</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违反放射诊疗相关规定和要求的</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w:t>
            </w:r>
          </w:p>
        </w:tc>
        <w:tc>
          <w:tcPr>
            <w:tcW w:w="513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《广东省卫生厅关于医疗机构不良执业行为记分的试行管理办法》第七条第（五）项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5" w:type="dxa"/>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江门市新会区会城街道都会村卫生站</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江门市新会区会城街道都会村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不按规定申请《医疗机构执业许可证》校验</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w:t>
            </w:r>
          </w:p>
        </w:tc>
        <w:tc>
          <w:tcPr>
            <w:tcW w:w="513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《广东省卫生厅关于医疗机构不良执业行为记分的试行管理办法》第七条第（一）项</w:t>
            </w:r>
          </w:p>
        </w:tc>
      </w:tr>
    </w:tbl>
    <w:p>
      <w:pPr>
        <w:rPr>
          <w:rFonts w:hint="eastAsia"/>
        </w:rPr>
      </w:pPr>
    </w:p>
    <w:p>
      <w:r>
        <w:rPr>
          <w:rFonts w:hint="eastAsia"/>
        </w:rPr>
        <w:t>五、公共场所监督执法类信息</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1549"/>
        <w:gridCol w:w="250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pPr>
              <w:jc w:val="center"/>
              <w:rPr>
                <w:rFonts w:hint="eastAsia"/>
              </w:rPr>
            </w:pPr>
            <w:r>
              <w:rPr>
                <w:rFonts w:hint="eastAsia"/>
              </w:rPr>
              <w:t>类别</w:t>
            </w:r>
          </w:p>
        </w:tc>
        <w:tc>
          <w:tcPr>
            <w:tcW w:w="2025" w:type="dxa"/>
            <w:vAlign w:val="center"/>
          </w:tcPr>
          <w:p>
            <w:pPr>
              <w:jc w:val="center"/>
              <w:rPr>
                <w:rFonts w:hint="eastAsia"/>
              </w:rPr>
            </w:pPr>
            <w:r>
              <w:rPr>
                <w:rFonts w:hint="eastAsia"/>
              </w:rPr>
              <w:t>单位名称/个人</w:t>
            </w:r>
          </w:p>
        </w:tc>
        <w:tc>
          <w:tcPr>
            <w:tcW w:w="2025" w:type="dxa"/>
            <w:vAlign w:val="center"/>
          </w:tcPr>
          <w:p>
            <w:pPr>
              <w:jc w:val="center"/>
              <w:rPr>
                <w:rFonts w:hint="eastAsia"/>
              </w:rPr>
            </w:pPr>
            <w:r>
              <w:rPr>
                <w:rFonts w:hint="eastAsia"/>
              </w:rPr>
              <w:t>单位地址</w:t>
            </w:r>
          </w:p>
        </w:tc>
        <w:tc>
          <w:tcPr>
            <w:tcW w:w="2025" w:type="dxa"/>
            <w:vAlign w:val="center"/>
          </w:tcPr>
          <w:p>
            <w:pPr>
              <w:jc w:val="center"/>
              <w:rPr>
                <w:rFonts w:hint="eastAsia"/>
              </w:rPr>
            </w:pPr>
            <w:r>
              <w:rPr>
                <w:rFonts w:hint="eastAsia"/>
              </w:rPr>
              <w:t>违法行为</w:t>
            </w:r>
          </w:p>
        </w:tc>
        <w:tc>
          <w:tcPr>
            <w:tcW w:w="1549" w:type="dxa"/>
            <w:vAlign w:val="center"/>
          </w:tcPr>
          <w:p>
            <w:pPr>
              <w:jc w:val="center"/>
              <w:rPr>
                <w:rFonts w:hint="eastAsia"/>
              </w:rPr>
            </w:pPr>
            <w:r>
              <w:rPr>
                <w:rFonts w:hint="eastAsia"/>
              </w:rPr>
              <w:t>机构类别</w:t>
            </w:r>
          </w:p>
        </w:tc>
        <w:tc>
          <w:tcPr>
            <w:tcW w:w="2501" w:type="dxa"/>
            <w:vAlign w:val="center"/>
          </w:tcPr>
          <w:p>
            <w:pPr>
              <w:jc w:val="center"/>
              <w:rPr>
                <w:rFonts w:hint="eastAsia"/>
              </w:rPr>
            </w:pPr>
            <w:r>
              <w:rPr>
                <w:rFonts w:hint="eastAsia"/>
              </w:rPr>
              <w:t>处罚依据</w:t>
            </w:r>
          </w:p>
        </w:tc>
        <w:tc>
          <w:tcPr>
            <w:tcW w:w="2025" w:type="dxa"/>
            <w:vAlign w:val="center"/>
          </w:tcPr>
          <w:p>
            <w:pPr>
              <w:jc w:val="center"/>
              <w:rPr>
                <w:rFonts w:hint="eastAsia"/>
              </w:rPr>
            </w:pPr>
            <w:r>
              <w:rPr>
                <w:rFonts w:hint="eastAsia"/>
              </w:rPr>
              <w:t>处罚种类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pPr>
              <w:widowControl/>
              <w:jc w:val="left"/>
              <w:rPr>
                <w:rFonts w:hint="eastAsia" w:hAnsi="宋体"/>
                <w:szCs w:val="21"/>
              </w:rPr>
            </w:pPr>
            <w:r>
              <w:rPr>
                <w:rFonts w:hint="eastAsia" w:hAnsi="宋体"/>
                <w:szCs w:val="21"/>
              </w:rPr>
              <w:t>公共场所卫生行政处罚案件信息</w:t>
            </w:r>
          </w:p>
        </w:tc>
        <w:tc>
          <w:tcPr>
            <w:tcW w:w="2025" w:type="dxa"/>
            <w:vAlign w:val="center"/>
          </w:tcPr>
          <w:p>
            <w:pPr>
              <w:widowControl/>
              <w:jc w:val="left"/>
              <w:rPr>
                <w:rFonts w:hint="eastAsia" w:hAnsi="宋体"/>
                <w:szCs w:val="21"/>
              </w:rPr>
            </w:pPr>
            <w:r>
              <w:rPr>
                <w:rFonts w:hint="eastAsia" w:hAnsi="宋体"/>
                <w:szCs w:val="21"/>
              </w:rPr>
              <w:t>江门市珑城物业管理有限公司</w:t>
            </w:r>
          </w:p>
        </w:tc>
        <w:tc>
          <w:tcPr>
            <w:tcW w:w="2025" w:type="dxa"/>
            <w:vAlign w:val="center"/>
          </w:tcPr>
          <w:p>
            <w:pPr>
              <w:widowControl/>
              <w:jc w:val="left"/>
              <w:rPr>
                <w:rFonts w:hint="eastAsia" w:hAnsi="宋体"/>
                <w:szCs w:val="21"/>
              </w:rPr>
            </w:pPr>
            <w:r>
              <w:rPr>
                <w:rFonts w:hint="eastAsia" w:hAnsi="宋体"/>
                <w:szCs w:val="21"/>
              </w:rPr>
              <w:t>江门市新会区会城大道28号珑城半山144号</w:t>
            </w:r>
          </w:p>
        </w:tc>
        <w:tc>
          <w:tcPr>
            <w:tcW w:w="2025" w:type="dxa"/>
            <w:vAlign w:val="center"/>
          </w:tcPr>
          <w:p>
            <w:pPr>
              <w:widowControl/>
              <w:jc w:val="left"/>
              <w:rPr>
                <w:rFonts w:hint="eastAsia" w:hAnsi="宋体"/>
                <w:szCs w:val="21"/>
              </w:rPr>
            </w:pPr>
            <w:r>
              <w:rPr>
                <w:rFonts w:hint="eastAsia" w:hAnsi="宋体"/>
                <w:szCs w:val="21"/>
              </w:rPr>
              <w:t>安排未获得有效健康合格证明的从业人员从事直接为顾客服务工作</w:t>
            </w:r>
          </w:p>
        </w:tc>
        <w:tc>
          <w:tcPr>
            <w:tcW w:w="1549" w:type="dxa"/>
            <w:vAlign w:val="center"/>
          </w:tcPr>
          <w:p>
            <w:pPr>
              <w:widowControl/>
              <w:jc w:val="left"/>
              <w:rPr>
                <w:rFonts w:hint="eastAsia" w:hAnsi="宋体"/>
                <w:szCs w:val="21"/>
              </w:rPr>
            </w:pPr>
            <w:r>
              <w:rPr>
                <w:rFonts w:hint="eastAsia" w:hAnsi="宋体"/>
                <w:szCs w:val="21"/>
              </w:rPr>
              <w:t>个体</w:t>
            </w:r>
          </w:p>
        </w:tc>
        <w:tc>
          <w:tcPr>
            <w:tcW w:w="2501" w:type="dxa"/>
            <w:vAlign w:val="center"/>
          </w:tcPr>
          <w:p>
            <w:pPr>
              <w:widowControl/>
              <w:jc w:val="left"/>
              <w:rPr>
                <w:rFonts w:hint="eastAsia" w:hAnsi="宋体"/>
                <w:szCs w:val="21"/>
              </w:rPr>
            </w:pPr>
            <w:r>
              <w:rPr>
                <w:rFonts w:hint="eastAsia" w:hAnsi="宋体"/>
                <w:szCs w:val="21"/>
              </w:rPr>
              <w:t>违反了《公共场所卫生管理条例》第七条、《公共场所卫生管理条例实施细则》第十条第一款的规定，依据《公共场所卫生管理条例》第十四条第一款第（二）项和《公共场所卫生管理条例实施细则》第三十八条</w:t>
            </w:r>
          </w:p>
        </w:tc>
        <w:tc>
          <w:tcPr>
            <w:tcW w:w="2025" w:type="dxa"/>
            <w:vAlign w:val="center"/>
          </w:tcPr>
          <w:p>
            <w:pPr>
              <w:widowControl/>
              <w:jc w:val="left"/>
              <w:rPr>
                <w:rFonts w:hint="eastAsia" w:hAnsi="宋体"/>
                <w:szCs w:val="21"/>
              </w:rPr>
            </w:pPr>
            <w:r>
              <w:rPr>
                <w:rFonts w:hint="eastAsia" w:hAnsi="宋体"/>
                <w:szCs w:val="21"/>
              </w:rPr>
              <w:t>警告并罚款人民币500元整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pPr>
              <w:widowControl/>
              <w:jc w:val="left"/>
              <w:rPr>
                <w:rFonts w:hint="eastAsia" w:hAnsi="宋体"/>
                <w:szCs w:val="21"/>
              </w:rPr>
            </w:pPr>
            <w:r>
              <w:rPr>
                <w:rFonts w:hint="eastAsia" w:hAnsi="宋体"/>
                <w:szCs w:val="21"/>
              </w:rPr>
              <w:t>公共场所卫生行政处罚案件信息</w:t>
            </w:r>
          </w:p>
        </w:tc>
        <w:tc>
          <w:tcPr>
            <w:tcW w:w="2025" w:type="dxa"/>
            <w:vAlign w:val="center"/>
          </w:tcPr>
          <w:p>
            <w:pPr>
              <w:widowControl/>
              <w:jc w:val="left"/>
              <w:rPr>
                <w:rFonts w:hint="eastAsia" w:hAnsi="宋体"/>
                <w:szCs w:val="21"/>
              </w:rPr>
            </w:pPr>
            <w:r>
              <w:rPr>
                <w:rFonts w:hint="eastAsia" w:hAnsi="宋体"/>
                <w:szCs w:val="21"/>
              </w:rPr>
              <w:t>新会区左耳美容中心</w:t>
            </w:r>
          </w:p>
        </w:tc>
        <w:tc>
          <w:tcPr>
            <w:tcW w:w="2025" w:type="dxa"/>
            <w:vAlign w:val="center"/>
          </w:tcPr>
          <w:p>
            <w:pPr>
              <w:widowControl/>
              <w:jc w:val="left"/>
              <w:rPr>
                <w:rFonts w:hint="eastAsia" w:hAnsi="宋体"/>
                <w:szCs w:val="21"/>
              </w:rPr>
            </w:pPr>
            <w:r>
              <w:rPr>
                <w:rFonts w:hint="eastAsia" w:hAnsi="宋体"/>
                <w:szCs w:val="21"/>
              </w:rPr>
              <w:t>江门市新会区会城启超大道56号174、175、176</w:t>
            </w:r>
          </w:p>
        </w:tc>
        <w:tc>
          <w:tcPr>
            <w:tcW w:w="2025" w:type="dxa"/>
            <w:vAlign w:val="center"/>
          </w:tcPr>
          <w:p>
            <w:pPr>
              <w:widowControl/>
              <w:jc w:val="left"/>
              <w:rPr>
                <w:rFonts w:hint="eastAsia" w:hAnsi="宋体"/>
                <w:szCs w:val="21"/>
              </w:rPr>
            </w:pPr>
            <w:r>
              <w:rPr>
                <w:rFonts w:hint="eastAsia" w:hAnsi="宋体"/>
                <w:szCs w:val="21"/>
              </w:rPr>
              <w:t>安排未获得有效健康合格证明的从业人员从事直接为顾客服务工作</w:t>
            </w:r>
          </w:p>
        </w:tc>
        <w:tc>
          <w:tcPr>
            <w:tcW w:w="1549" w:type="dxa"/>
            <w:vAlign w:val="center"/>
          </w:tcPr>
          <w:p>
            <w:pPr>
              <w:widowControl/>
              <w:jc w:val="left"/>
              <w:rPr>
                <w:rFonts w:hint="eastAsia" w:hAnsi="宋体"/>
                <w:szCs w:val="21"/>
              </w:rPr>
            </w:pPr>
            <w:r>
              <w:rPr>
                <w:rFonts w:hint="eastAsia" w:hAnsi="宋体"/>
                <w:szCs w:val="21"/>
              </w:rPr>
              <w:t>个体</w:t>
            </w:r>
          </w:p>
        </w:tc>
        <w:tc>
          <w:tcPr>
            <w:tcW w:w="2501" w:type="dxa"/>
            <w:vAlign w:val="center"/>
          </w:tcPr>
          <w:p>
            <w:pPr>
              <w:widowControl/>
              <w:jc w:val="left"/>
              <w:rPr>
                <w:rFonts w:hint="eastAsia" w:hAnsi="宋体"/>
                <w:szCs w:val="21"/>
              </w:rPr>
            </w:pPr>
            <w:r>
              <w:rPr>
                <w:rFonts w:hint="eastAsia" w:hAnsi="宋体"/>
                <w:szCs w:val="21"/>
              </w:rPr>
              <w:t>违反了《公共场所卫生管理条例》第七条、《公共场所卫生管理条例实施细则》第十条第一款的规定，依据《公共场所卫生管理条例》第十四条第一款第（二）项和《公共场所卫生管理条例实施细则》第三十八条</w:t>
            </w:r>
          </w:p>
        </w:tc>
        <w:tc>
          <w:tcPr>
            <w:tcW w:w="2025" w:type="dxa"/>
            <w:vAlign w:val="center"/>
          </w:tcPr>
          <w:p>
            <w:pPr>
              <w:widowControl/>
              <w:jc w:val="left"/>
              <w:rPr>
                <w:rFonts w:hint="eastAsia" w:hAnsi="宋体"/>
                <w:szCs w:val="21"/>
              </w:rPr>
            </w:pPr>
            <w:r>
              <w:rPr>
                <w:rFonts w:hint="eastAsia" w:hAnsi="宋体"/>
                <w:szCs w:val="21"/>
              </w:rPr>
              <w:t>警告并罚款人民币500元整</w:t>
            </w:r>
          </w:p>
        </w:tc>
      </w:tr>
    </w:tbl>
    <w:p>
      <w:pPr>
        <w:rPr>
          <w:rFonts w:hint="eastAsia"/>
        </w:rPr>
      </w:pPr>
    </w:p>
    <w:p>
      <w:pPr>
        <w:rPr>
          <w:rFonts w:hint="eastAsia"/>
        </w:rPr>
      </w:pPr>
    </w:p>
    <w:p>
      <w:pPr>
        <w:numPr>
          <w:ilvl w:val="0"/>
          <w:numId w:val="0"/>
        </w:numPr>
        <w:rPr>
          <w:rFonts w:hint="eastAsia"/>
        </w:rPr>
      </w:pPr>
      <w:r>
        <w:rPr>
          <w:rFonts w:hint="eastAsia"/>
          <w:lang w:eastAsia="zh-CN"/>
        </w:rPr>
        <w:t>六、</w:t>
      </w:r>
      <w:r>
        <w:rPr>
          <w:rFonts w:hint="eastAsia"/>
        </w:rPr>
        <w:t>生活饮用水监督执法类信息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601"/>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rPr>
                <w:rFonts w:hint="eastAsia"/>
              </w:rPr>
            </w:pPr>
            <w:r>
              <w:rPr>
                <w:rFonts w:hint="eastAsia"/>
              </w:rPr>
              <w:t>项目</w:t>
            </w:r>
          </w:p>
        </w:tc>
        <w:tc>
          <w:tcPr>
            <w:tcW w:w="1601" w:type="dxa"/>
          </w:tcPr>
          <w:p>
            <w:pPr>
              <w:rPr>
                <w:rFonts w:hint="eastAsia"/>
              </w:rPr>
            </w:pPr>
            <w:r>
              <w:rPr>
                <w:rFonts w:hint="eastAsia"/>
              </w:rPr>
              <w:t>单位名称/个人</w:t>
            </w:r>
          </w:p>
        </w:tc>
        <w:tc>
          <w:tcPr>
            <w:tcW w:w="2025" w:type="dxa"/>
          </w:tcPr>
          <w:p>
            <w:pPr>
              <w:rPr>
                <w:rFonts w:hint="eastAsia"/>
              </w:rPr>
            </w:pPr>
            <w:r>
              <w:rPr>
                <w:rFonts w:hint="eastAsia"/>
              </w:rPr>
              <w:t>单位地址</w:t>
            </w:r>
          </w:p>
        </w:tc>
        <w:tc>
          <w:tcPr>
            <w:tcW w:w="2025" w:type="dxa"/>
          </w:tcPr>
          <w:p>
            <w:pPr>
              <w:rPr>
                <w:rFonts w:hint="eastAsia"/>
              </w:rPr>
            </w:pPr>
            <w:r>
              <w:rPr>
                <w:rFonts w:hint="eastAsia"/>
              </w:rPr>
              <w:t>违法行为</w:t>
            </w:r>
          </w:p>
        </w:tc>
        <w:tc>
          <w:tcPr>
            <w:tcW w:w="2025" w:type="dxa"/>
          </w:tcPr>
          <w:p>
            <w:pPr>
              <w:rPr>
                <w:rFonts w:hint="eastAsia"/>
              </w:rPr>
            </w:pPr>
            <w:r>
              <w:rPr>
                <w:rFonts w:hint="eastAsia"/>
              </w:rPr>
              <w:t>机构类别</w:t>
            </w:r>
          </w:p>
        </w:tc>
        <w:tc>
          <w:tcPr>
            <w:tcW w:w="2025" w:type="dxa"/>
          </w:tcPr>
          <w:p>
            <w:pPr>
              <w:rPr>
                <w:rFonts w:hint="eastAsia"/>
              </w:rPr>
            </w:pPr>
            <w:r>
              <w:rPr>
                <w:rFonts w:hint="eastAsia"/>
              </w:rPr>
              <w:t>处罚依据</w:t>
            </w:r>
          </w:p>
        </w:tc>
        <w:tc>
          <w:tcPr>
            <w:tcW w:w="2025" w:type="dxa"/>
          </w:tcPr>
          <w:p>
            <w:pPr>
              <w:rPr>
                <w:rFonts w:hint="eastAsia"/>
              </w:rPr>
            </w:pPr>
            <w:r>
              <w:rPr>
                <w:rFonts w:hint="eastAsia"/>
              </w:rPr>
              <w:t>处罚种类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rPr>
                <w:rFonts w:hint="eastAsia"/>
              </w:rPr>
            </w:pPr>
            <w:r>
              <w:rPr>
                <w:rFonts w:hint="eastAsia"/>
              </w:rPr>
              <w:t>卫生行政处罚案件信息</w:t>
            </w:r>
          </w:p>
        </w:tc>
        <w:tc>
          <w:tcPr>
            <w:tcW w:w="1601" w:type="dxa"/>
          </w:tcPr>
          <w:p>
            <w:pPr>
              <w:rPr>
                <w:rFonts w:hint="eastAsia"/>
              </w:rPr>
            </w:pPr>
          </w:p>
        </w:tc>
        <w:tc>
          <w:tcPr>
            <w:tcW w:w="2025" w:type="dxa"/>
          </w:tcPr>
          <w:p>
            <w:pPr>
              <w:rPr>
                <w:rFonts w:hint="eastAsia"/>
              </w:rPr>
            </w:pPr>
          </w:p>
        </w:tc>
        <w:tc>
          <w:tcPr>
            <w:tcW w:w="2025" w:type="dxa"/>
          </w:tcPr>
          <w:p>
            <w:pPr>
              <w:rPr>
                <w:rFonts w:hint="eastAsia"/>
              </w:rPr>
            </w:pPr>
          </w:p>
        </w:tc>
        <w:tc>
          <w:tcPr>
            <w:tcW w:w="2025" w:type="dxa"/>
          </w:tcPr>
          <w:p>
            <w:pPr>
              <w:rPr>
                <w:rFonts w:hint="eastAsia"/>
              </w:rPr>
            </w:pPr>
          </w:p>
        </w:tc>
        <w:tc>
          <w:tcPr>
            <w:tcW w:w="2025" w:type="dxa"/>
          </w:tcPr>
          <w:p>
            <w:pPr>
              <w:rPr>
                <w:rFonts w:hint="eastAsia"/>
              </w:rPr>
            </w:pPr>
          </w:p>
        </w:tc>
        <w:tc>
          <w:tcPr>
            <w:tcW w:w="202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rPr>
                <w:rFonts w:hint="eastAsia" w:eastAsia="宋体"/>
                <w:lang w:eastAsia="zh-CN"/>
              </w:rPr>
            </w:pPr>
            <w:r>
              <w:rPr>
                <w:rFonts w:hint="eastAsia"/>
                <w:lang w:eastAsia="zh-CN"/>
              </w:rPr>
              <w:t>无</w:t>
            </w:r>
          </w:p>
        </w:tc>
        <w:tc>
          <w:tcPr>
            <w:tcW w:w="1601" w:type="dxa"/>
          </w:tcPr>
          <w:p>
            <w:pPr>
              <w:rPr>
                <w:rFonts w:hint="eastAsia"/>
              </w:rPr>
            </w:pPr>
          </w:p>
        </w:tc>
        <w:tc>
          <w:tcPr>
            <w:tcW w:w="2025" w:type="dxa"/>
          </w:tcPr>
          <w:p>
            <w:pPr>
              <w:rPr>
                <w:rFonts w:hint="eastAsia"/>
              </w:rPr>
            </w:pPr>
          </w:p>
        </w:tc>
        <w:tc>
          <w:tcPr>
            <w:tcW w:w="2025" w:type="dxa"/>
          </w:tcPr>
          <w:p>
            <w:pPr>
              <w:rPr>
                <w:rFonts w:hint="eastAsia"/>
              </w:rPr>
            </w:pPr>
          </w:p>
        </w:tc>
        <w:tc>
          <w:tcPr>
            <w:tcW w:w="2025" w:type="dxa"/>
          </w:tcPr>
          <w:p>
            <w:pPr>
              <w:rPr>
                <w:rFonts w:hint="eastAsia"/>
              </w:rPr>
            </w:pPr>
          </w:p>
        </w:tc>
        <w:tc>
          <w:tcPr>
            <w:tcW w:w="2025" w:type="dxa"/>
          </w:tcPr>
          <w:p>
            <w:pPr>
              <w:rPr>
                <w:rFonts w:hint="eastAsia"/>
              </w:rPr>
            </w:pPr>
          </w:p>
        </w:tc>
        <w:tc>
          <w:tcPr>
            <w:tcW w:w="2025" w:type="dxa"/>
          </w:tcPr>
          <w:p>
            <w:pPr>
              <w:rPr>
                <w:rFonts w:hint="eastAsia"/>
              </w:rPr>
            </w:pPr>
          </w:p>
        </w:tc>
      </w:tr>
    </w:tbl>
    <w:p>
      <w:pPr>
        <w:rPr>
          <w:rFonts w:hint="eastAsia"/>
        </w:rPr>
      </w:pPr>
    </w:p>
    <w:p>
      <w:pPr>
        <w:rPr>
          <w:rFonts w:hint="eastAsia"/>
        </w:rPr>
      </w:pPr>
    </w:p>
    <w:p>
      <w:pPr>
        <w:numPr>
          <w:ilvl w:val="0"/>
          <w:numId w:val="0"/>
        </w:numPr>
        <w:rPr>
          <w:rFonts w:hint="eastAsia"/>
        </w:rPr>
      </w:pPr>
      <w:r>
        <w:rPr>
          <w:rFonts w:hint="eastAsia"/>
          <w:lang w:eastAsia="zh-CN"/>
        </w:rPr>
        <w:t>七、</w:t>
      </w:r>
      <w:r>
        <w:rPr>
          <w:rFonts w:hint="eastAsia"/>
        </w:rPr>
        <w:t>专项抽检类信息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rPr>
                <w:rFonts w:hint="eastAsia"/>
              </w:rPr>
            </w:pPr>
            <w:r>
              <w:rPr>
                <w:rFonts w:hint="eastAsia"/>
              </w:rPr>
              <w:t>项目</w:t>
            </w:r>
          </w:p>
        </w:tc>
        <w:tc>
          <w:tcPr>
            <w:tcW w:w="2025" w:type="dxa"/>
          </w:tcPr>
          <w:p>
            <w:pPr>
              <w:rPr>
                <w:rFonts w:hint="eastAsia"/>
              </w:rPr>
            </w:pPr>
            <w:r>
              <w:rPr>
                <w:rFonts w:hint="eastAsia"/>
              </w:rPr>
              <w:t>单位名称/个人</w:t>
            </w:r>
          </w:p>
        </w:tc>
        <w:tc>
          <w:tcPr>
            <w:tcW w:w="2025" w:type="dxa"/>
          </w:tcPr>
          <w:p>
            <w:pPr>
              <w:rPr>
                <w:rFonts w:hint="eastAsia"/>
              </w:rPr>
            </w:pPr>
            <w:r>
              <w:rPr>
                <w:rFonts w:hint="eastAsia"/>
              </w:rPr>
              <w:t>单位地址</w:t>
            </w:r>
          </w:p>
        </w:tc>
        <w:tc>
          <w:tcPr>
            <w:tcW w:w="8056" w:type="dxa"/>
          </w:tcPr>
          <w:p>
            <w:pPr>
              <w:rPr>
                <w:rFonts w:hint="eastAsia"/>
              </w:rPr>
            </w:pPr>
            <w:r>
              <w:rPr>
                <w:rFonts w:hint="eastAsia"/>
              </w:rPr>
              <w:t>按照国家、省和地级市卫生计生行政部门颁布的计划或方案内容要求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rPr>
                <w:rFonts w:hint="eastAsia"/>
              </w:rPr>
            </w:pPr>
            <w:r>
              <w:rPr>
                <w:rFonts w:hint="eastAsia"/>
              </w:rPr>
              <w:t>专项抽检类信息</w:t>
            </w:r>
          </w:p>
        </w:tc>
        <w:tc>
          <w:tcPr>
            <w:tcW w:w="2025" w:type="dxa"/>
          </w:tcPr>
          <w:p>
            <w:pPr>
              <w:rPr>
                <w:rFonts w:hint="eastAsia"/>
              </w:rPr>
            </w:pPr>
          </w:p>
        </w:tc>
        <w:tc>
          <w:tcPr>
            <w:tcW w:w="2025" w:type="dxa"/>
          </w:tcPr>
          <w:p>
            <w:pPr>
              <w:rPr>
                <w:rFonts w:hint="eastAsia"/>
              </w:rPr>
            </w:pPr>
          </w:p>
        </w:tc>
        <w:tc>
          <w:tcPr>
            <w:tcW w:w="8056"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Pr>
          <w:p>
            <w:pPr>
              <w:rPr>
                <w:rFonts w:hint="eastAsia" w:eastAsia="宋体"/>
                <w:lang w:eastAsia="zh-CN"/>
              </w:rPr>
            </w:pPr>
            <w:r>
              <w:rPr>
                <w:rFonts w:hint="eastAsia"/>
                <w:lang w:eastAsia="zh-CN"/>
              </w:rPr>
              <w:t>无</w:t>
            </w:r>
          </w:p>
        </w:tc>
        <w:tc>
          <w:tcPr>
            <w:tcW w:w="2025" w:type="dxa"/>
          </w:tcPr>
          <w:p>
            <w:pPr>
              <w:rPr>
                <w:rFonts w:hint="eastAsia"/>
              </w:rPr>
            </w:pPr>
          </w:p>
        </w:tc>
        <w:tc>
          <w:tcPr>
            <w:tcW w:w="2025" w:type="dxa"/>
          </w:tcPr>
          <w:p>
            <w:pPr>
              <w:rPr>
                <w:rFonts w:hint="eastAsia"/>
              </w:rPr>
            </w:pPr>
          </w:p>
        </w:tc>
        <w:tc>
          <w:tcPr>
            <w:tcW w:w="8056" w:type="dxa"/>
          </w:tcPr>
          <w:p>
            <w:pPr>
              <w:rPr>
                <w:rFonts w:hint="eastAsia"/>
              </w:rPr>
            </w:pPr>
          </w:p>
        </w:tc>
      </w:tr>
    </w:tbl>
    <w:p>
      <w:pPr>
        <w:rPr>
          <w:rFonts w:hint="eastAsia"/>
        </w:rPr>
      </w:pPr>
    </w:p>
    <w:sectPr>
      <w:headerReference r:id="rId3" w:type="default"/>
      <w:footerReference r:id="rId4" w:type="default"/>
      <w:pgSz w:w="16838" w:h="11906" w:orient="landscape"/>
      <w:pgMar w:top="1134" w:right="1440" w:bottom="851" w:left="1440" w:header="851" w:footer="709"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eastAsia="zh-CN"/>
      </w:rPr>
      <w:t>3</w:t>
    </w:r>
    <w:r>
      <w:rPr>
        <w:lang w:val="zh-CN"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43958"/>
    <w:multiLevelType w:val="singleLevel"/>
    <w:tmpl w:val="56C439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9"/>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F0BD2"/>
    <w:rsid w:val="0000365C"/>
    <w:rsid w:val="000041CB"/>
    <w:rsid w:val="0001202C"/>
    <w:rsid w:val="00014436"/>
    <w:rsid w:val="0002064A"/>
    <w:rsid w:val="000265FF"/>
    <w:rsid w:val="00026F1B"/>
    <w:rsid w:val="00042E12"/>
    <w:rsid w:val="00051852"/>
    <w:rsid w:val="00053216"/>
    <w:rsid w:val="00053FA5"/>
    <w:rsid w:val="00056B35"/>
    <w:rsid w:val="00057C3E"/>
    <w:rsid w:val="00063E76"/>
    <w:rsid w:val="0007007F"/>
    <w:rsid w:val="0007128A"/>
    <w:rsid w:val="0007176C"/>
    <w:rsid w:val="00071A9A"/>
    <w:rsid w:val="000739BA"/>
    <w:rsid w:val="00074E88"/>
    <w:rsid w:val="00085E3B"/>
    <w:rsid w:val="00092AEF"/>
    <w:rsid w:val="000931F9"/>
    <w:rsid w:val="000A4916"/>
    <w:rsid w:val="000B29D4"/>
    <w:rsid w:val="000B6EE8"/>
    <w:rsid w:val="000C0B7E"/>
    <w:rsid w:val="000C0E07"/>
    <w:rsid w:val="000C2850"/>
    <w:rsid w:val="000C4FC3"/>
    <w:rsid w:val="000D30E8"/>
    <w:rsid w:val="000D3818"/>
    <w:rsid w:val="000E088D"/>
    <w:rsid w:val="000E4767"/>
    <w:rsid w:val="000E4B81"/>
    <w:rsid w:val="000E4C96"/>
    <w:rsid w:val="00102382"/>
    <w:rsid w:val="00102C08"/>
    <w:rsid w:val="00126313"/>
    <w:rsid w:val="00134934"/>
    <w:rsid w:val="00140E20"/>
    <w:rsid w:val="0014542A"/>
    <w:rsid w:val="00150CC3"/>
    <w:rsid w:val="00150D8F"/>
    <w:rsid w:val="001514EE"/>
    <w:rsid w:val="00165D2E"/>
    <w:rsid w:val="001670E4"/>
    <w:rsid w:val="00170CBF"/>
    <w:rsid w:val="00173954"/>
    <w:rsid w:val="00174CFF"/>
    <w:rsid w:val="00176CF0"/>
    <w:rsid w:val="00187241"/>
    <w:rsid w:val="00191483"/>
    <w:rsid w:val="001914CE"/>
    <w:rsid w:val="00197F1F"/>
    <w:rsid w:val="001A2B71"/>
    <w:rsid w:val="001A3AA0"/>
    <w:rsid w:val="001A736E"/>
    <w:rsid w:val="001A7A9A"/>
    <w:rsid w:val="001B17CD"/>
    <w:rsid w:val="001B4F9E"/>
    <w:rsid w:val="001B6E92"/>
    <w:rsid w:val="001C02D4"/>
    <w:rsid w:val="001C2F9C"/>
    <w:rsid w:val="001C35D4"/>
    <w:rsid w:val="001C49B2"/>
    <w:rsid w:val="001D5925"/>
    <w:rsid w:val="001E40C0"/>
    <w:rsid w:val="001F0B2A"/>
    <w:rsid w:val="001F0BD2"/>
    <w:rsid w:val="001F185A"/>
    <w:rsid w:val="001F7376"/>
    <w:rsid w:val="00202F5D"/>
    <w:rsid w:val="00210F63"/>
    <w:rsid w:val="00216EB1"/>
    <w:rsid w:val="00216EE9"/>
    <w:rsid w:val="00217473"/>
    <w:rsid w:val="002200F4"/>
    <w:rsid w:val="0022412C"/>
    <w:rsid w:val="002247D3"/>
    <w:rsid w:val="0022571D"/>
    <w:rsid w:val="0023730C"/>
    <w:rsid w:val="00237852"/>
    <w:rsid w:val="00241AF9"/>
    <w:rsid w:val="00243735"/>
    <w:rsid w:val="00245254"/>
    <w:rsid w:val="0024579C"/>
    <w:rsid w:val="00251C7A"/>
    <w:rsid w:val="002561C9"/>
    <w:rsid w:val="00262E81"/>
    <w:rsid w:val="00264C57"/>
    <w:rsid w:val="00274D7F"/>
    <w:rsid w:val="002826EE"/>
    <w:rsid w:val="00286E30"/>
    <w:rsid w:val="00291ABB"/>
    <w:rsid w:val="00294686"/>
    <w:rsid w:val="002B1B41"/>
    <w:rsid w:val="002C1B8D"/>
    <w:rsid w:val="002D032B"/>
    <w:rsid w:val="002D0A61"/>
    <w:rsid w:val="002E5DBF"/>
    <w:rsid w:val="002F13A3"/>
    <w:rsid w:val="002F322E"/>
    <w:rsid w:val="00307257"/>
    <w:rsid w:val="00312583"/>
    <w:rsid w:val="00315ECA"/>
    <w:rsid w:val="00322375"/>
    <w:rsid w:val="003227E5"/>
    <w:rsid w:val="00331E90"/>
    <w:rsid w:val="00332B4C"/>
    <w:rsid w:val="00342212"/>
    <w:rsid w:val="00342B3A"/>
    <w:rsid w:val="00342D01"/>
    <w:rsid w:val="00346DDF"/>
    <w:rsid w:val="00360160"/>
    <w:rsid w:val="003624AD"/>
    <w:rsid w:val="003763E6"/>
    <w:rsid w:val="00376AC0"/>
    <w:rsid w:val="00380079"/>
    <w:rsid w:val="00392D76"/>
    <w:rsid w:val="003A040E"/>
    <w:rsid w:val="003A25BC"/>
    <w:rsid w:val="003A2F7F"/>
    <w:rsid w:val="003C1F23"/>
    <w:rsid w:val="003D190C"/>
    <w:rsid w:val="003D42BC"/>
    <w:rsid w:val="003F7ED1"/>
    <w:rsid w:val="0041788F"/>
    <w:rsid w:val="00421E77"/>
    <w:rsid w:val="0042527F"/>
    <w:rsid w:val="00431DA3"/>
    <w:rsid w:val="00435B4A"/>
    <w:rsid w:val="00443122"/>
    <w:rsid w:val="00444018"/>
    <w:rsid w:val="00444A9F"/>
    <w:rsid w:val="0044696A"/>
    <w:rsid w:val="004523DE"/>
    <w:rsid w:val="00460A09"/>
    <w:rsid w:val="004662E6"/>
    <w:rsid w:val="00471943"/>
    <w:rsid w:val="00474F5B"/>
    <w:rsid w:val="004762DB"/>
    <w:rsid w:val="00477910"/>
    <w:rsid w:val="00477C2B"/>
    <w:rsid w:val="004900EA"/>
    <w:rsid w:val="004920A6"/>
    <w:rsid w:val="00494BEA"/>
    <w:rsid w:val="004979D1"/>
    <w:rsid w:val="004A1857"/>
    <w:rsid w:val="004A2B24"/>
    <w:rsid w:val="004A43E4"/>
    <w:rsid w:val="004A5372"/>
    <w:rsid w:val="004B3360"/>
    <w:rsid w:val="004B476D"/>
    <w:rsid w:val="004C4DA8"/>
    <w:rsid w:val="004E1236"/>
    <w:rsid w:val="004E6A30"/>
    <w:rsid w:val="004F0639"/>
    <w:rsid w:val="005048B6"/>
    <w:rsid w:val="00513B7D"/>
    <w:rsid w:val="00517E81"/>
    <w:rsid w:val="005221A5"/>
    <w:rsid w:val="005229D8"/>
    <w:rsid w:val="005257E2"/>
    <w:rsid w:val="0053081E"/>
    <w:rsid w:val="00533E0E"/>
    <w:rsid w:val="00553486"/>
    <w:rsid w:val="005535E0"/>
    <w:rsid w:val="005574E1"/>
    <w:rsid w:val="00557796"/>
    <w:rsid w:val="0056043A"/>
    <w:rsid w:val="00560B69"/>
    <w:rsid w:val="005622E5"/>
    <w:rsid w:val="00567448"/>
    <w:rsid w:val="005710BF"/>
    <w:rsid w:val="00576A42"/>
    <w:rsid w:val="00582F9D"/>
    <w:rsid w:val="00586493"/>
    <w:rsid w:val="005920F0"/>
    <w:rsid w:val="005951CB"/>
    <w:rsid w:val="005A45EC"/>
    <w:rsid w:val="005B7B2E"/>
    <w:rsid w:val="005C06A2"/>
    <w:rsid w:val="005C3890"/>
    <w:rsid w:val="005D16F4"/>
    <w:rsid w:val="005D574C"/>
    <w:rsid w:val="005E12FC"/>
    <w:rsid w:val="005F2BE1"/>
    <w:rsid w:val="005F6F22"/>
    <w:rsid w:val="00600323"/>
    <w:rsid w:val="00617466"/>
    <w:rsid w:val="00617E5E"/>
    <w:rsid w:val="00626760"/>
    <w:rsid w:val="00633DEB"/>
    <w:rsid w:val="00637B95"/>
    <w:rsid w:val="00655DF5"/>
    <w:rsid w:val="00657F14"/>
    <w:rsid w:val="0066156D"/>
    <w:rsid w:val="006752C5"/>
    <w:rsid w:val="00684EDA"/>
    <w:rsid w:val="00684FE7"/>
    <w:rsid w:val="006855DE"/>
    <w:rsid w:val="00686A16"/>
    <w:rsid w:val="006A1B96"/>
    <w:rsid w:val="006A2188"/>
    <w:rsid w:val="006A279F"/>
    <w:rsid w:val="006A3C43"/>
    <w:rsid w:val="006A6B5C"/>
    <w:rsid w:val="006C6D43"/>
    <w:rsid w:val="006D201E"/>
    <w:rsid w:val="006D3CE1"/>
    <w:rsid w:val="006D57E4"/>
    <w:rsid w:val="006D6106"/>
    <w:rsid w:val="006D6518"/>
    <w:rsid w:val="006D6AEE"/>
    <w:rsid w:val="006E02E2"/>
    <w:rsid w:val="006E150A"/>
    <w:rsid w:val="006E1749"/>
    <w:rsid w:val="006F004C"/>
    <w:rsid w:val="007008FF"/>
    <w:rsid w:val="00702309"/>
    <w:rsid w:val="00717D03"/>
    <w:rsid w:val="007211DD"/>
    <w:rsid w:val="007213E7"/>
    <w:rsid w:val="00721E30"/>
    <w:rsid w:val="007333BA"/>
    <w:rsid w:val="0073342D"/>
    <w:rsid w:val="00733895"/>
    <w:rsid w:val="00733CD7"/>
    <w:rsid w:val="00737AF9"/>
    <w:rsid w:val="00753720"/>
    <w:rsid w:val="00760C1E"/>
    <w:rsid w:val="0076198A"/>
    <w:rsid w:val="007640D9"/>
    <w:rsid w:val="00764AA7"/>
    <w:rsid w:val="007654E5"/>
    <w:rsid w:val="00766ED7"/>
    <w:rsid w:val="00770B55"/>
    <w:rsid w:val="0077131D"/>
    <w:rsid w:val="00773216"/>
    <w:rsid w:val="007745DA"/>
    <w:rsid w:val="007807B6"/>
    <w:rsid w:val="0078415C"/>
    <w:rsid w:val="0079118D"/>
    <w:rsid w:val="00796237"/>
    <w:rsid w:val="007A0196"/>
    <w:rsid w:val="007A33B8"/>
    <w:rsid w:val="007A61C1"/>
    <w:rsid w:val="007B1645"/>
    <w:rsid w:val="007B3053"/>
    <w:rsid w:val="007C274D"/>
    <w:rsid w:val="007C5190"/>
    <w:rsid w:val="007C5DA3"/>
    <w:rsid w:val="007D0704"/>
    <w:rsid w:val="007D4220"/>
    <w:rsid w:val="007E53E9"/>
    <w:rsid w:val="007F0EDD"/>
    <w:rsid w:val="007F78C2"/>
    <w:rsid w:val="008168B1"/>
    <w:rsid w:val="008170F8"/>
    <w:rsid w:val="008206D7"/>
    <w:rsid w:val="00825EB5"/>
    <w:rsid w:val="008358AF"/>
    <w:rsid w:val="00841AE0"/>
    <w:rsid w:val="00841BA1"/>
    <w:rsid w:val="0084653E"/>
    <w:rsid w:val="00862FF8"/>
    <w:rsid w:val="008642FB"/>
    <w:rsid w:val="00865162"/>
    <w:rsid w:val="008701A0"/>
    <w:rsid w:val="00872336"/>
    <w:rsid w:val="008732E4"/>
    <w:rsid w:val="00873D78"/>
    <w:rsid w:val="0088379C"/>
    <w:rsid w:val="008975A3"/>
    <w:rsid w:val="008B42AF"/>
    <w:rsid w:val="008C5C04"/>
    <w:rsid w:val="008D715F"/>
    <w:rsid w:val="008E1D24"/>
    <w:rsid w:val="008E3A7D"/>
    <w:rsid w:val="008F796E"/>
    <w:rsid w:val="00900F87"/>
    <w:rsid w:val="00901C7D"/>
    <w:rsid w:val="00903AAA"/>
    <w:rsid w:val="00933D81"/>
    <w:rsid w:val="0093560E"/>
    <w:rsid w:val="00947525"/>
    <w:rsid w:val="00954B5B"/>
    <w:rsid w:val="00955387"/>
    <w:rsid w:val="00955BCD"/>
    <w:rsid w:val="00957D9E"/>
    <w:rsid w:val="0096248F"/>
    <w:rsid w:val="00962640"/>
    <w:rsid w:val="00965E50"/>
    <w:rsid w:val="00970254"/>
    <w:rsid w:val="00971E21"/>
    <w:rsid w:val="00974813"/>
    <w:rsid w:val="009749CA"/>
    <w:rsid w:val="00980B06"/>
    <w:rsid w:val="00980B98"/>
    <w:rsid w:val="009964F9"/>
    <w:rsid w:val="00996E85"/>
    <w:rsid w:val="00996F30"/>
    <w:rsid w:val="009972E5"/>
    <w:rsid w:val="009B03AC"/>
    <w:rsid w:val="009B2933"/>
    <w:rsid w:val="009B360F"/>
    <w:rsid w:val="009B3749"/>
    <w:rsid w:val="009B3C01"/>
    <w:rsid w:val="009B4160"/>
    <w:rsid w:val="009B4A36"/>
    <w:rsid w:val="009D1A03"/>
    <w:rsid w:val="009D3EE7"/>
    <w:rsid w:val="009E22AB"/>
    <w:rsid w:val="009F5855"/>
    <w:rsid w:val="00A01B3B"/>
    <w:rsid w:val="00A02B4E"/>
    <w:rsid w:val="00A10DA4"/>
    <w:rsid w:val="00A14B1B"/>
    <w:rsid w:val="00A16A99"/>
    <w:rsid w:val="00A33CC4"/>
    <w:rsid w:val="00A36629"/>
    <w:rsid w:val="00A47646"/>
    <w:rsid w:val="00A53B19"/>
    <w:rsid w:val="00A60F8B"/>
    <w:rsid w:val="00A60FF6"/>
    <w:rsid w:val="00A71E5B"/>
    <w:rsid w:val="00A86144"/>
    <w:rsid w:val="00A92FB3"/>
    <w:rsid w:val="00AC2661"/>
    <w:rsid w:val="00AC75FE"/>
    <w:rsid w:val="00AE16F2"/>
    <w:rsid w:val="00AE6CA1"/>
    <w:rsid w:val="00AE7A6A"/>
    <w:rsid w:val="00AF0815"/>
    <w:rsid w:val="00AF1A0B"/>
    <w:rsid w:val="00B12DF6"/>
    <w:rsid w:val="00B13F27"/>
    <w:rsid w:val="00B23354"/>
    <w:rsid w:val="00B36C0A"/>
    <w:rsid w:val="00B377C4"/>
    <w:rsid w:val="00B37D30"/>
    <w:rsid w:val="00B409DD"/>
    <w:rsid w:val="00B4227C"/>
    <w:rsid w:val="00B44624"/>
    <w:rsid w:val="00B57519"/>
    <w:rsid w:val="00B60DA4"/>
    <w:rsid w:val="00B619A5"/>
    <w:rsid w:val="00B63165"/>
    <w:rsid w:val="00B639E8"/>
    <w:rsid w:val="00B6480C"/>
    <w:rsid w:val="00B661C8"/>
    <w:rsid w:val="00B70210"/>
    <w:rsid w:val="00B822DD"/>
    <w:rsid w:val="00B9014C"/>
    <w:rsid w:val="00B946A2"/>
    <w:rsid w:val="00B950FE"/>
    <w:rsid w:val="00BA13F6"/>
    <w:rsid w:val="00BC12CA"/>
    <w:rsid w:val="00BC31E3"/>
    <w:rsid w:val="00BD7FD7"/>
    <w:rsid w:val="00BE56D7"/>
    <w:rsid w:val="00BF14EC"/>
    <w:rsid w:val="00C02ACD"/>
    <w:rsid w:val="00C060B4"/>
    <w:rsid w:val="00C219BC"/>
    <w:rsid w:val="00C240C6"/>
    <w:rsid w:val="00C271E9"/>
    <w:rsid w:val="00C27897"/>
    <w:rsid w:val="00C44E6C"/>
    <w:rsid w:val="00C518F3"/>
    <w:rsid w:val="00C53CB5"/>
    <w:rsid w:val="00C56655"/>
    <w:rsid w:val="00C56869"/>
    <w:rsid w:val="00C63D9F"/>
    <w:rsid w:val="00C70D2B"/>
    <w:rsid w:val="00C72A9C"/>
    <w:rsid w:val="00C75897"/>
    <w:rsid w:val="00C814F6"/>
    <w:rsid w:val="00C93CA8"/>
    <w:rsid w:val="00C96180"/>
    <w:rsid w:val="00CA14E1"/>
    <w:rsid w:val="00CA41FA"/>
    <w:rsid w:val="00CB508C"/>
    <w:rsid w:val="00CB624C"/>
    <w:rsid w:val="00CB7823"/>
    <w:rsid w:val="00CC2CF0"/>
    <w:rsid w:val="00CD0B30"/>
    <w:rsid w:val="00CD61F6"/>
    <w:rsid w:val="00CE1377"/>
    <w:rsid w:val="00CE44F6"/>
    <w:rsid w:val="00CE6598"/>
    <w:rsid w:val="00CF04FE"/>
    <w:rsid w:val="00CF29EB"/>
    <w:rsid w:val="00D0274F"/>
    <w:rsid w:val="00D078B5"/>
    <w:rsid w:val="00D13F60"/>
    <w:rsid w:val="00D203BA"/>
    <w:rsid w:val="00D23843"/>
    <w:rsid w:val="00D24DA9"/>
    <w:rsid w:val="00D37DF8"/>
    <w:rsid w:val="00D405A1"/>
    <w:rsid w:val="00D43C01"/>
    <w:rsid w:val="00D44E67"/>
    <w:rsid w:val="00D520DD"/>
    <w:rsid w:val="00D60105"/>
    <w:rsid w:val="00D601AC"/>
    <w:rsid w:val="00D70694"/>
    <w:rsid w:val="00D70954"/>
    <w:rsid w:val="00D72102"/>
    <w:rsid w:val="00D725F0"/>
    <w:rsid w:val="00D74757"/>
    <w:rsid w:val="00D83392"/>
    <w:rsid w:val="00D84D88"/>
    <w:rsid w:val="00D85CC0"/>
    <w:rsid w:val="00D918F0"/>
    <w:rsid w:val="00DA263D"/>
    <w:rsid w:val="00DA2EAA"/>
    <w:rsid w:val="00DA3AB0"/>
    <w:rsid w:val="00DA6653"/>
    <w:rsid w:val="00DB0B75"/>
    <w:rsid w:val="00DB251F"/>
    <w:rsid w:val="00DB32DD"/>
    <w:rsid w:val="00DB4F49"/>
    <w:rsid w:val="00DC03B1"/>
    <w:rsid w:val="00DC3715"/>
    <w:rsid w:val="00DD44BF"/>
    <w:rsid w:val="00DE0464"/>
    <w:rsid w:val="00DE0A10"/>
    <w:rsid w:val="00DE0F7E"/>
    <w:rsid w:val="00DF0CD8"/>
    <w:rsid w:val="00DF379D"/>
    <w:rsid w:val="00DF55A0"/>
    <w:rsid w:val="00DF7358"/>
    <w:rsid w:val="00E00445"/>
    <w:rsid w:val="00E00969"/>
    <w:rsid w:val="00E02FE0"/>
    <w:rsid w:val="00E04366"/>
    <w:rsid w:val="00E052D0"/>
    <w:rsid w:val="00E065F4"/>
    <w:rsid w:val="00E104A2"/>
    <w:rsid w:val="00E20ADF"/>
    <w:rsid w:val="00E21069"/>
    <w:rsid w:val="00E217C4"/>
    <w:rsid w:val="00E235A1"/>
    <w:rsid w:val="00E2449B"/>
    <w:rsid w:val="00E350BB"/>
    <w:rsid w:val="00E3578B"/>
    <w:rsid w:val="00E36DDF"/>
    <w:rsid w:val="00E412C6"/>
    <w:rsid w:val="00E45EF2"/>
    <w:rsid w:val="00E53A17"/>
    <w:rsid w:val="00E573C7"/>
    <w:rsid w:val="00E60F15"/>
    <w:rsid w:val="00E66B05"/>
    <w:rsid w:val="00E82889"/>
    <w:rsid w:val="00E84BA2"/>
    <w:rsid w:val="00E8680D"/>
    <w:rsid w:val="00E90914"/>
    <w:rsid w:val="00EA3167"/>
    <w:rsid w:val="00EB1087"/>
    <w:rsid w:val="00EB1A77"/>
    <w:rsid w:val="00EB36DE"/>
    <w:rsid w:val="00EC1533"/>
    <w:rsid w:val="00EC1989"/>
    <w:rsid w:val="00ED04FA"/>
    <w:rsid w:val="00ED4BDE"/>
    <w:rsid w:val="00ED7A60"/>
    <w:rsid w:val="00EE03F6"/>
    <w:rsid w:val="00EE3C25"/>
    <w:rsid w:val="00EE77AB"/>
    <w:rsid w:val="00EF0815"/>
    <w:rsid w:val="00EF0CFB"/>
    <w:rsid w:val="00EF2C5A"/>
    <w:rsid w:val="00EF3603"/>
    <w:rsid w:val="00EF4E36"/>
    <w:rsid w:val="00EF5967"/>
    <w:rsid w:val="00F0106A"/>
    <w:rsid w:val="00F024F1"/>
    <w:rsid w:val="00F03309"/>
    <w:rsid w:val="00F07DF9"/>
    <w:rsid w:val="00F14432"/>
    <w:rsid w:val="00F2164A"/>
    <w:rsid w:val="00F26069"/>
    <w:rsid w:val="00F3570F"/>
    <w:rsid w:val="00F42A44"/>
    <w:rsid w:val="00F43BEC"/>
    <w:rsid w:val="00F451A2"/>
    <w:rsid w:val="00F5453C"/>
    <w:rsid w:val="00F7573B"/>
    <w:rsid w:val="00F94A3E"/>
    <w:rsid w:val="00FA3322"/>
    <w:rsid w:val="00FA5F7B"/>
    <w:rsid w:val="00FB1C0C"/>
    <w:rsid w:val="00FB5D8C"/>
    <w:rsid w:val="00FC229B"/>
    <w:rsid w:val="00FC5ED6"/>
    <w:rsid w:val="00FC6A78"/>
    <w:rsid w:val="00FD13CE"/>
    <w:rsid w:val="00FF2E98"/>
    <w:rsid w:val="00FF35F4"/>
    <w:rsid w:val="00FF69E2"/>
    <w:rsid w:val="05D82C32"/>
    <w:rsid w:val="07176A59"/>
    <w:rsid w:val="087547BF"/>
    <w:rsid w:val="0A9327CE"/>
    <w:rsid w:val="0B0D0EF4"/>
    <w:rsid w:val="0DC84E99"/>
    <w:rsid w:val="12FD4431"/>
    <w:rsid w:val="158434F1"/>
    <w:rsid w:val="1E237E7E"/>
    <w:rsid w:val="21154E98"/>
    <w:rsid w:val="245C5BAA"/>
    <w:rsid w:val="272C647B"/>
    <w:rsid w:val="2A2C4957"/>
    <w:rsid w:val="2CC528C9"/>
    <w:rsid w:val="30385F56"/>
    <w:rsid w:val="339E200A"/>
    <w:rsid w:val="36F41DD8"/>
    <w:rsid w:val="3DA3336D"/>
    <w:rsid w:val="3ED82EA6"/>
    <w:rsid w:val="4D2C7EF2"/>
    <w:rsid w:val="50AE0310"/>
    <w:rsid w:val="514F07F2"/>
    <w:rsid w:val="5372174D"/>
    <w:rsid w:val="53FE6FC0"/>
    <w:rsid w:val="570347AA"/>
    <w:rsid w:val="59BA3558"/>
    <w:rsid w:val="5B347328"/>
    <w:rsid w:val="5C7D34BF"/>
    <w:rsid w:val="5D366818"/>
    <w:rsid w:val="5D4B7C9D"/>
    <w:rsid w:val="60B97A69"/>
    <w:rsid w:val="65005354"/>
    <w:rsid w:val="6ADB46A1"/>
    <w:rsid w:val="6DFFE034"/>
    <w:rsid w:val="722D4878"/>
    <w:rsid w:val="761902A8"/>
    <w:rsid w:val="7DB721A1"/>
    <w:rsid w:val="7FF794E7"/>
    <w:rsid w:val="C5F7FF4F"/>
    <w:rsid w:val="EFEE0A20"/>
    <w:rsid w:val="F7FEF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szCs w:val="20"/>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customStyle="1" w:styleId="11">
    <w:name w:val="纯文本 Char"/>
    <w:link w:val="2"/>
    <w:qFormat/>
    <w:uiPriority w:val="0"/>
    <w:rPr>
      <w:rFonts w:ascii="宋体" w:hAnsi="Courier New" w:eastAsia="宋体"/>
      <w:kern w:val="2"/>
      <w:sz w:val="21"/>
      <w:lang w:bidi="ar-SA"/>
    </w:rPr>
  </w:style>
  <w:style w:type="character" w:customStyle="1" w:styleId="12">
    <w:name w:val="页脚 Char"/>
    <w:link w:val="3"/>
    <w:qFormat/>
    <w:uiPriority w:val="99"/>
    <w:rPr>
      <w:rFonts w:eastAsia="宋体"/>
      <w:kern w:val="2"/>
      <w:sz w:val="18"/>
      <w:szCs w:val="18"/>
      <w:lang w:val="en-US" w:eastAsia="zh-CN" w:bidi="ar-SA"/>
    </w:rPr>
  </w:style>
  <w:style w:type="character" w:customStyle="1" w:styleId="13">
    <w:name w:val="next"/>
    <w:basedOn w:val="8"/>
    <w:qFormat/>
    <w:uiPriority w:val="0"/>
    <w:rPr>
      <w:color w:val="888888"/>
      <w:bdr w:val="single" w:color="898989" w:sz="6" w:space="0"/>
      <w:shd w:val="clear" w:color="auto" w:fill="EDEDED"/>
    </w:rPr>
  </w:style>
  <w:style w:type="character" w:customStyle="1" w:styleId="14">
    <w:name w:val="prev"/>
    <w:basedOn w:val="8"/>
    <w:qFormat/>
    <w:uiPriority w:val="0"/>
    <w:rPr>
      <w:color w:val="888888"/>
      <w:bdr w:val="single" w:color="898989" w:sz="6" w:space="0"/>
      <w:shd w:val="clear" w:color="auto" w:fill="EDEDED"/>
    </w:rPr>
  </w:style>
  <w:style w:type="character" w:customStyle="1" w:styleId="15">
    <w:name w:val="on"/>
    <w:basedOn w:val="8"/>
    <w:qFormat/>
    <w:uiPriority w:val="0"/>
    <w:rPr>
      <w:color w:val="CC3333"/>
    </w:rPr>
  </w:style>
  <w:style w:type="character" w:customStyle="1" w:styleId="16">
    <w:name w:val="font11"/>
    <w:basedOn w:val="8"/>
    <w:qFormat/>
    <w:uiPriority w:val="0"/>
    <w:rPr>
      <w:rFonts w:hint="default" w:ascii="Times New Roman" w:hAnsi="Times New Roman" w:cs="Times New Roman"/>
      <w:color w:val="000000"/>
      <w:sz w:val="24"/>
      <w:szCs w:val="24"/>
      <w:u w:val="none"/>
    </w:rPr>
  </w:style>
  <w:style w:type="character" w:customStyle="1" w:styleId="17">
    <w:name w:val="font01"/>
    <w:basedOn w:val="8"/>
    <w:qFormat/>
    <w:uiPriority w:val="0"/>
    <w:rPr>
      <w:rFonts w:hint="eastAsia" w:ascii="仿宋_GB2312" w:eastAsia="仿宋_GB2312" w:cs="仿宋_GB2312"/>
      <w:color w:val="000000"/>
      <w:sz w:val="24"/>
      <w:szCs w:val="24"/>
      <w:u w:val="none"/>
    </w:rPr>
  </w:style>
  <w:style w:type="character" w:customStyle="1" w:styleId="18">
    <w:name w:val="font41"/>
    <w:basedOn w:val="8"/>
    <w:qFormat/>
    <w:uiPriority w:val="0"/>
    <w:rPr>
      <w:rFonts w:hint="default" w:ascii="Times New Roman" w:hAnsi="Times New Roman" w:cs="Times New Roman"/>
      <w:color w:val="000000"/>
      <w:sz w:val="21"/>
      <w:szCs w:val="21"/>
      <w:u w:val="none"/>
    </w:rPr>
  </w:style>
  <w:style w:type="character" w:customStyle="1" w:styleId="19">
    <w:name w:val="font21"/>
    <w:basedOn w:val="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1529</Characters>
  <Lines>12</Lines>
  <Paragraphs>3</Paragraphs>
  <TotalTime>9</TotalTime>
  <ScaleCrop>false</ScaleCrop>
  <LinksUpToDate>false</LinksUpToDate>
  <CharactersWithSpaces>1794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2023-09-05T16:48:00Z</dcterms:created>
  <dc:creator>Administrator</dc:creator>
  <cp:lastModifiedBy>uos</cp:lastModifiedBy>
  <cp:lastPrinted>2023-08-31T17:38:00Z</cp:lastPrinted>
  <dcterms:modified xsi:type="dcterms:W3CDTF">2023-09-08T17:05:15Z</dcterms:modified>
  <dc:title>卫生监督信息（201610）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1A9695A94ACA445E8C6D95B7D1D901C1</vt:lpwstr>
  </property>
</Properties>
</file>