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AF" w:rsidRPr="003D5DAF" w:rsidRDefault="003D5DAF" w:rsidP="003D5DAF">
      <w:pPr>
        <w:pStyle w:val="a3"/>
        <w:shd w:val="clear" w:color="auto" w:fill="FFFFFF"/>
        <w:spacing w:line="360" w:lineRule="exact"/>
        <w:rPr>
          <w:rFonts w:ascii="仿宋" w:eastAsia="仿宋" w:hAnsi="仿宋" w:cs="Arial" w:hint="eastAsia"/>
          <w:b/>
          <w:color w:val="222222"/>
          <w:sz w:val="32"/>
          <w:szCs w:val="32"/>
        </w:rPr>
      </w:pPr>
      <w:r>
        <w:rPr>
          <w:rFonts w:ascii="仿宋" w:eastAsia="仿宋" w:hAnsi="仿宋" w:cs="Arial" w:hint="eastAsia"/>
          <w:b/>
          <w:color w:val="222222"/>
          <w:sz w:val="32"/>
          <w:szCs w:val="32"/>
        </w:rPr>
        <w:t>附件2</w:t>
      </w:r>
    </w:p>
    <w:p w:rsidR="002343F9" w:rsidRDefault="002343F9" w:rsidP="003D5DAF">
      <w:pPr>
        <w:pStyle w:val="a3"/>
        <w:shd w:val="clear" w:color="auto" w:fill="FFFFFF"/>
        <w:spacing w:line="360" w:lineRule="exact"/>
        <w:jc w:val="center"/>
        <w:rPr>
          <w:rFonts w:asciiTheme="majorEastAsia" w:eastAsiaTheme="majorEastAsia" w:hAnsiTheme="majorEastAsia" w:cs="Arial"/>
          <w:b/>
          <w:color w:val="222222"/>
          <w:sz w:val="36"/>
          <w:szCs w:val="36"/>
        </w:rPr>
      </w:pPr>
      <w:r>
        <w:rPr>
          <w:rFonts w:asciiTheme="majorEastAsia" w:eastAsiaTheme="majorEastAsia" w:hAnsiTheme="majorEastAsia" w:cs="Arial" w:hint="eastAsia"/>
          <w:b/>
          <w:color w:val="222222"/>
          <w:sz w:val="36"/>
          <w:szCs w:val="36"/>
        </w:rPr>
        <w:t>2023年新会区</w:t>
      </w:r>
      <w:r>
        <w:rPr>
          <w:rFonts w:asciiTheme="majorEastAsia" w:eastAsiaTheme="majorEastAsia" w:hAnsiTheme="majorEastAsia" w:cs="Arial"/>
          <w:b/>
          <w:color w:val="222222"/>
          <w:sz w:val="36"/>
          <w:szCs w:val="36"/>
        </w:rPr>
        <w:t>领导干部应知应会法律法规清单</w:t>
      </w: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1466"/>
        <w:gridCol w:w="5334"/>
        <w:gridCol w:w="1722"/>
      </w:tblGrid>
      <w:tr w:rsidR="002343F9" w:rsidTr="00C74D95">
        <w:tc>
          <w:tcPr>
            <w:tcW w:w="1466" w:type="dxa"/>
            <w:vAlign w:val="center"/>
          </w:tcPr>
          <w:p w:rsidR="002343F9" w:rsidRDefault="002343F9" w:rsidP="00C74D95">
            <w:pPr>
              <w:pStyle w:val="a3"/>
              <w:spacing w:line="450" w:lineRule="atLeast"/>
              <w:jc w:val="center"/>
              <w:rPr>
                <w:rFonts w:asciiTheme="minorEastAsia" w:eastAsiaTheme="minorEastAsia" w:hAnsiTheme="minorEastAsia" w:cs="Arial"/>
                <w:b/>
                <w:color w:val="222222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222222"/>
                <w:sz w:val="27"/>
                <w:szCs w:val="27"/>
              </w:rPr>
              <w:t>类型</w:t>
            </w:r>
          </w:p>
        </w:tc>
        <w:tc>
          <w:tcPr>
            <w:tcW w:w="5334" w:type="dxa"/>
            <w:vAlign w:val="center"/>
          </w:tcPr>
          <w:p w:rsidR="002343F9" w:rsidRDefault="002343F9" w:rsidP="00C74D95">
            <w:pPr>
              <w:pStyle w:val="a3"/>
              <w:spacing w:before="0" w:beforeAutospacing="0" w:after="0" w:afterAutospacing="0" w:line="420" w:lineRule="exact"/>
              <w:jc w:val="center"/>
              <w:rPr>
                <w:rFonts w:asciiTheme="minorEastAsia" w:eastAsiaTheme="minorEastAsia" w:hAnsiTheme="minorEastAsia" w:cs="Arial"/>
                <w:b/>
                <w:color w:val="222222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222222"/>
                <w:sz w:val="27"/>
                <w:szCs w:val="27"/>
              </w:rPr>
              <w:t>学习内容/目录</w:t>
            </w:r>
          </w:p>
        </w:tc>
        <w:tc>
          <w:tcPr>
            <w:tcW w:w="1722" w:type="dxa"/>
            <w:vAlign w:val="center"/>
          </w:tcPr>
          <w:p w:rsidR="002343F9" w:rsidRDefault="002343F9" w:rsidP="00C74D95">
            <w:pPr>
              <w:pStyle w:val="a3"/>
              <w:spacing w:line="450" w:lineRule="atLeast"/>
              <w:jc w:val="center"/>
              <w:rPr>
                <w:rFonts w:asciiTheme="minorEastAsia" w:eastAsiaTheme="minorEastAsia" w:hAnsiTheme="minorEastAsia" w:cs="Arial"/>
                <w:b/>
                <w:color w:val="222222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222222"/>
                <w:sz w:val="27"/>
                <w:szCs w:val="27"/>
              </w:rPr>
              <w:t>学习要求</w:t>
            </w:r>
          </w:p>
        </w:tc>
      </w:tr>
      <w:tr w:rsidR="002343F9" w:rsidTr="00C74D95">
        <w:tc>
          <w:tcPr>
            <w:tcW w:w="1466" w:type="dxa"/>
            <w:vAlign w:val="center"/>
          </w:tcPr>
          <w:p w:rsidR="002343F9" w:rsidRDefault="002343F9" w:rsidP="00C74D95">
            <w:pPr>
              <w:pStyle w:val="a3"/>
              <w:spacing w:before="0" w:beforeAutospacing="0" w:after="0" w:afterAutospacing="0" w:line="420" w:lineRule="exact"/>
              <w:jc w:val="center"/>
              <w:rPr>
                <w:rFonts w:ascii="华文仿宋" w:eastAsia="华文仿宋" w:hAnsi="华文仿宋" w:cs="Arial"/>
                <w:b/>
                <w:color w:val="222222"/>
              </w:rPr>
            </w:pPr>
            <w:r>
              <w:rPr>
                <w:rFonts w:ascii="华文仿宋" w:eastAsia="华文仿宋" w:hAnsi="华文仿宋" w:cs="Arial" w:hint="eastAsia"/>
                <w:b/>
                <w:color w:val="222222"/>
              </w:rPr>
              <w:t>习近平</w:t>
            </w:r>
          </w:p>
          <w:p w:rsidR="002343F9" w:rsidRDefault="002343F9" w:rsidP="00C74D95">
            <w:pPr>
              <w:pStyle w:val="a3"/>
              <w:spacing w:before="0" w:beforeAutospacing="0" w:after="0" w:afterAutospacing="0" w:line="420" w:lineRule="exact"/>
              <w:jc w:val="center"/>
              <w:rPr>
                <w:rFonts w:ascii="华文仿宋" w:eastAsia="华文仿宋" w:hAnsi="华文仿宋" w:cs="Arial"/>
                <w:color w:val="222222"/>
              </w:rPr>
            </w:pPr>
            <w:r>
              <w:rPr>
                <w:rFonts w:ascii="华文仿宋" w:eastAsia="华文仿宋" w:hAnsi="华文仿宋" w:cs="Arial" w:hint="eastAsia"/>
                <w:b/>
                <w:color w:val="222222"/>
              </w:rPr>
              <w:t>法治思想</w:t>
            </w:r>
          </w:p>
        </w:tc>
        <w:tc>
          <w:tcPr>
            <w:tcW w:w="5334" w:type="dxa"/>
            <w:vAlign w:val="center"/>
          </w:tcPr>
          <w:p w:rsidR="002343F9" w:rsidRDefault="002343F9" w:rsidP="00C74D95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华文仿宋" w:eastAsia="华文仿宋" w:hAnsi="华文仿宋" w:cs="Arial"/>
                <w:color w:val="222222"/>
              </w:rPr>
            </w:pPr>
            <w:r>
              <w:rPr>
                <w:rFonts w:ascii="华文仿宋" w:eastAsia="华文仿宋" w:hAnsi="华文仿宋" w:cs="Arial" w:hint="eastAsia"/>
                <w:color w:val="222222"/>
              </w:rPr>
              <w:t xml:space="preserve">1.《论坚持全面依法治国》《习近平关于全面依法治国论述摘编》； </w:t>
            </w:r>
          </w:p>
          <w:p w:rsidR="002343F9" w:rsidRDefault="002343F9" w:rsidP="00C74D95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华文仿宋" w:eastAsia="华文仿宋" w:hAnsi="华文仿宋" w:cs="Arial"/>
                <w:color w:val="222222"/>
              </w:rPr>
            </w:pPr>
            <w:r>
              <w:rPr>
                <w:rFonts w:ascii="华文仿宋" w:eastAsia="华文仿宋" w:hAnsi="华文仿宋" w:cs="Arial" w:hint="eastAsia"/>
                <w:color w:val="222222"/>
              </w:rPr>
              <w:t>2.《习近平谈治国理政》（一、二、三、四卷）相关篇目；</w:t>
            </w:r>
            <w:r>
              <w:rPr>
                <w:rFonts w:ascii="华文仿宋" w:eastAsia="华文仿宋" w:hAnsi="华文仿宋" w:cs="Arial"/>
                <w:color w:val="222222"/>
              </w:rPr>
              <w:t xml:space="preserve"> </w:t>
            </w:r>
          </w:p>
          <w:p w:rsidR="002343F9" w:rsidRDefault="002343F9" w:rsidP="00C74D95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华文仿宋" w:eastAsia="华文仿宋" w:hAnsi="华文仿宋" w:cs="Arial"/>
                <w:color w:val="222222"/>
              </w:rPr>
            </w:pPr>
            <w:r>
              <w:rPr>
                <w:rFonts w:ascii="华文仿宋" w:eastAsia="华文仿宋" w:hAnsi="华文仿宋" w:cs="Arial" w:hint="eastAsia"/>
                <w:color w:val="222222"/>
              </w:rPr>
              <w:t>3.《习近平法治思想学习纲要》；</w:t>
            </w:r>
          </w:p>
          <w:p w:rsidR="002343F9" w:rsidRDefault="002343F9" w:rsidP="00C74D95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华文仿宋" w:eastAsia="华文仿宋" w:hAnsi="华文仿宋" w:cs="Arial"/>
                <w:color w:val="222222"/>
              </w:rPr>
            </w:pPr>
            <w:r>
              <w:rPr>
                <w:rFonts w:ascii="华文仿宋" w:eastAsia="华文仿宋" w:hAnsi="华文仿宋" w:cs="Arial" w:hint="eastAsia"/>
                <w:color w:val="222222"/>
              </w:rPr>
              <w:t xml:space="preserve">4.其他理论著作、成果等。 </w:t>
            </w:r>
          </w:p>
        </w:tc>
        <w:tc>
          <w:tcPr>
            <w:tcW w:w="1722" w:type="dxa"/>
            <w:vMerge w:val="restart"/>
          </w:tcPr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</w:p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</w:p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</w:p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</w:p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  <w:r>
              <w:rPr>
                <w:rFonts w:ascii="华文仿宋" w:eastAsia="华文仿宋" w:hAnsi="华文仿宋" w:cs="Arial" w:hint="eastAsia"/>
                <w:color w:val="222222"/>
              </w:rPr>
              <w:t>1.列入各级党委(党组)理论学习中心组学习计划；</w:t>
            </w:r>
          </w:p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</w:p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  <w:r>
              <w:rPr>
                <w:rFonts w:ascii="华文仿宋" w:eastAsia="华文仿宋" w:hAnsi="华文仿宋" w:cs="Arial" w:hint="eastAsia"/>
                <w:color w:val="222222"/>
              </w:rPr>
              <w:t>2.参加完成上级或本级组织的培训任务；</w:t>
            </w:r>
          </w:p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</w:p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  <w:r>
              <w:rPr>
                <w:rFonts w:ascii="华文仿宋" w:eastAsia="华文仿宋" w:hAnsi="华文仿宋" w:cs="Arial" w:hint="eastAsia"/>
                <w:color w:val="222222"/>
              </w:rPr>
              <w:t>3.参加完成不定期的学习、培训、研讨班等；</w:t>
            </w:r>
          </w:p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</w:p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  <w:r>
              <w:rPr>
                <w:rFonts w:ascii="华文仿宋" w:eastAsia="华文仿宋" w:hAnsi="华文仿宋" w:cs="Arial" w:hint="eastAsia"/>
                <w:color w:val="222222"/>
              </w:rPr>
              <w:t>4.利用学习强国、江门市干部培训网络学院等学习终端或平台完成相应的学习；</w:t>
            </w:r>
          </w:p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</w:p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  <w:r>
              <w:rPr>
                <w:rFonts w:ascii="华文仿宋" w:eastAsia="华文仿宋" w:hAnsi="华文仿宋" w:cs="Arial" w:hint="eastAsia"/>
                <w:color w:val="222222"/>
              </w:rPr>
              <w:t>5.有条件的可以开发各类课件，创新学习方式手段；</w:t>
            </w:r>
          </w:p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</w:p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  <w:r>
              <w:rPr>
                <w:rFonts w:ascii="华文仿宋" w:eastAsia="华文仿宋" w:hAnsi="华文仿宋" w:cs="Arial" w:hint="eastAsia"/>
                <w:color w:val="222222"/>
              </w:rPr>
              <w:t>6.结合实际、实践，通过学法考试、考核、学习心得等方式量化学习成果。</w:t>
            </w:r>
          </w:p>
        </w:tc>
      </w:tr>
      <w:tr w:rsidR="002343F9" w:rsidTr="003D5DAF">
        <w:trPr>
          <w:trHeight w:val="1079"/>
        </w:trPr>
        <w:tc>
          <w:tcPr>
            <w:tcW w:w="1466" w:type="dxa"/>
            <w:vMerge w:val="restart"/>
            <w:vAlign w:val="center"/>
          </w:tcPr>
          <w:p w:rsidR="002343F9" w:rsidRDefault="002343F9" w:rsidP="00C74D95">
            <w:pPr>
              <w:pStyle w:val="a3"/>
              <w:spacing w:before="0" w:beforeAutospacing="0" w:after="0" w:afterAutospacing="0" w:line="420" w:lineRule="exact"/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华文仿宋" w:eastAsia="华文仿宋" w:hAnsi="华文仿宋" w:cs="Arial" w:hint="eastAsia"/>
                <w:b/>
                <w:color w:val="222222"/>
              </w:rPr>
              <w:t>综合清单</w:t>
            </w:r>
          </w:p>
        </w:tc>
        <w:tc>
          <w:tcPr>
            <w:tcW w:w="5334" w:type="dxa"/>
            <w:vAlign w:val="center"/>
          </w:tcPr>
          <w:p w:rsidR="002343F9" w:rsidRDefault="002343F9" w:rsidP="00C74D95">
            <w:pPr>
              <w:pStyle w:val="a3"/>
              <w:spacing w:before="0" w:beforeAutospacing="0" w:after="0" w:afterAutospacing="0" w:line="300" w:lineRule="exact"/>
              <w:rPr>
                <w:rFonts w:ascii="黑体" w:eastAsia="黑体" w:hAnsi="黑体" w:cs="Arial"/>
                <w:color w:val="222222"/>
              </w:rPr>
            </w:pPr>
            <w:r>
              <w:rPr>
                <w:rFonts w:ascii="黑体" w:eastAsia="黑体" w:hAnsi="黑体" w:cs="Arial" w:hint="eastAsia"/>
                <w:color w:val="222222"/>
              </w:rPr>
              <w:t>基础法律法规类：</w:t>
            </w:r>
          </w:p>
          <w:p w:rsidR="002343F9" w:rsidRDefault="002343F9" w:rsidP="00C74D95">
            <w:pPr>
              <w:pStyle w:val="a3"/>
              <w:spacing w:before="0" w:beforeAutospacing="0" w:after="0" w:afterAutospacing="0" w:line="300" w:lineRule="exact"/>
              <w:ind w:firstLineChars="200" w:firstLine="480"/>
              <w:rPr>
                <w:rFonts w:ascii="华文仿宋" w:eastAsia="华文仿宋" w:hAnsi="华文仿宋" w:cs="Arial"/>
                <w:color w:val="222222"/>
              </w:rPr>
            </w:pPr>
            <w:r>
              <w:rPr>
                <w:rFonts w:ascii="华文仿宋" w:eastAsia="华文仿宋" w:hAnsi="华文仿宋" w:cs="Arial" w:hint="eastAsia"/>
                <w:color w:val="222222"/>
              </w:rPr>
              <w:t>宪法、民法典、</w:t>
            </w:r>
            <w:r>
              <w:rPr>
                <w:rFonts w:ascii="华文仿宋" w:eastAsia="华文仿宋" w:hAnsi="华文仿宋" w:cs="Arial"/>
                <w:color w:val="222222"/>
              </w:rPr>
              <w:t>党内法规</w:t>
            </w:r>
            <w:r>
              <w:rPr>
                <w:rFonts w:ascii="华文仿宋" w:eastAsia="华文仿宋" w:hAnsi="华文仿宋" w:cs="Arial" w:hint="eastAsia"/>
                <w:color w:val="222222"/>
              </w:rPr>
              <w:t>，及政务处分，反腐倡廉，严守党纪政纪的法律法规等。</w:t>
            </w:r>
          </w:p>
        </w:tc>
        <w:tc>
          <w:tcPr>
            <w:tcW w:w="1722" w:type="dxa"/>
            <w:vMerge/>
          </w:tcPr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</w:p>
        </w:tc>
      </w:tr>
      <w:tr w:rsidR="002343F9" w:rsidTr="00C74D95">
        <w:trPr>
          <w:trHeight w:val="2087"/>
        </w:trPr>
        <w:tc>
          <w:tcPr>
            <w:tcW w:w="1466" w:type="dxa"/>
            <w:vMerge/>
            <w:vAlign w:val="center"/>
          </w:tcPr>
          <w:p w:rsidR="002343F9" w:rsidRDefault="002343F9" w:rsidP="00C74D95">
            <w:pPr>
              <w:pStyle w:val="a3"/>
              <w:spacing w:before="0" w:beforeAutospacing="0" w:after="0" w:afterAutospacing="0" w:line="420" w:lineRule="exact"/>
              <w:jc w:val="center"/>
              <w:rPr>
                <w:rFonts w:ascii="华文仿宋" w:eastAsia="华文仿宋" w:hAnsi="华文仿宋" w:cs="Arial"/>
                <w:b/>
                <w:color w:val="222222"/>
              </w:rPr>
            </w:pPr>
          </w:p>
        </w:tc>
        <w:tc>
          <w:tcPr>
            <w:tcW w:w="5334" w:type="dxa"/>
            <w:vAlign w:val="center"/>
          </w:tcPr>
          <w:p w:rsidR="002343F9" w:rsidRDefault="002343F9" w:rsidP="00C74D95">
            <w:pPr>
              <w:pStyle w:val="a3"/>
              <w:spacing w:before="0" w:beforeAutospacing="0" w:after="0" w:afterAutospacing="0" w:line="300" w:lineRule="exact"/>
              <w:rPr>
                <w:rFonts w:ascii="黑体" w:eastAsia="黑体" w:hAnsi="黑体" w:cs="Arial"/>
                <w:color w:val="222222"/>
              </w:rPr>
            </w:pPr>
            <w:r>
              <w:rPr>
                <w:rFonts w:ascii="黑体" w:eastAsia="黑体" w:hAnsi="黑体" w:cs="Arial"/>
                <w:color w:val="222222"/>
              </w:rPr>
              <w:t>与推动</w:t>
            </w:r>
            <w:r>
              <w:rPr>
                <w:rFonts w:ascii="黑体" w:eastAsia="黑体" w:hAnsi="黑体" w:cs="Arial" w:hint="eastAsia"/>
                <w:color w:val="222222"/>
              </w:rPr>
              <w:t>江门</w:t>
            </w:r>
            <w:r>
              <w:rPr>
                <w:rFonts w:ascii="黑体" w:eastAsia="黑体" w:hAnsi="黑体" w:cs="Arial"/>
                <w:color w:val="222222"/>
              </w:rPr>
              <w:t>高质量发展相关的法律法规</w:t>
            </w:r>
            <w:r>
              <w:rPr>
                <w:rFonts w:ascii="黑体" w:eastAsia="黑体" w:hAnsi="黑体" w:cs="Arial" w:hint="eastAsia"/>
                <w:color w:val="222222"/>
              </w:rPr>
              <w:t>：</w:t>
            </w:r>
          </w:p>
          <w:p w:rsidR="002343F9" w:rsidRPr="00F100F5" w:rsidRDefault="002343F9" w:rsidP="00C74D95">
            <w:pPr>
              <w:pStyle w:val="a3"/>
              <w:shd w:val="clear" w:color="auto" w:fill="FFFFFF"/>
              <w:spacing w:before="0" w:beforeAutospacing="0" w:after="0" w:afterAutospacing="0" w:line="300" w:lineRule="exact"/>
              <w:ind w:firstLineChars="200" w:firstLine="480"/>
              <w:rPr>
                <w:rFonts w:ascii="华文仿宋" w:eastAsia="华文仿宋" w:hAnsi="华文仿宋" w:cs="Arial"/>
                <w:color w:val="222222"/>
              </w:rPr>
            </w:pPr>
            <w:r>
              <w:rPr>
                <w:rFonts w:ascii="华文仿宋" w:eastAsia="华文仿宋" w:hAnsi="华文仿宋" w:cs="Arial"/>
                <w:color w:val="222222"/>
              </w:rPr>
              <w:t>学习有关公平竞争、激发市场主体活力、防范风险、知识产权保护、科技成果转化、优化营商环境、实施乡村振兴、推进创新发展、生态环境保护等有关的法律法规，不断提高运用法治手段管理经济社会事务的水平。</w:t>
            </w:r>
          </w:p>
        </w:tc>
        <w:tc>
          <w:tcPr>
            <w:tcW w:w="1722" w:type="dxa"/>
            <w:vMerge/>
          </w:tcPr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</w:p>
        </w:tc>
      </w:tr>
      <w:tr w:rsidR="002343F9" w:rsidTr="00C74D95">
        <w:trPr>
          <w:trHeight w:val="3395"/>
        </w:trPr>
        <w:tc>
          <w:tcPr>
            <w:tcW w:w="1466" w:type="dxa"/>
            <w:vMerge/>
            <w:vAlign w:val="center"/>
          </w:tcPr>
          <w:p w:rsidR="002343F9" w:rsidRDefault="002343F9" w:rsidP="00C74D95">
            <w:pPr>
              <w:pStyle w:val="a3"/>
              <w:spacing w:before="0" w:beforeAutospacing="0" w:after="0" w:afterAutospacing="0" w:line="420" w:lineRule="exact"/>
              <w:jc w:val="center"/>
              <w:rPr>
                <w:rFonts w:ascii="华文仿宋" w:eastAsia="华文仿宋" w:hAnsi="华文仿宋" w:cs="Arial"/>
                <w:b/>
                <w:color w:val="222222"/>
              </w:rPr>
            </w:pPr>
          </w:p>
        </w:tc>
        <w:tc>
          <w:tcPr>
            <w:tcW w:w="5334" w:type="dxa"/>
            <w:vAlign w:val="center"/>
          </w:tcPr>
          <w:p w:rsidR="002343F9" w:rsidRDefault="002343F9" w:rsidP="00C74D95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黑体" w:eastAsia="黑体" w:hAnsi="黑体" w:cs="Arial"/>
                <w:color w:val="222222"/>
              </w:rPr>
            </w:pPr>
            <w:r>
              <w:rPr>
                <w:rFonts w:ascii="黑体" w:eastAsia="黑体" w:hAnsi="黑体" w:cs="Arial"/>
                <w:color w:val="222222"/>
              </w:rPr>
              <w:t>与社会治理现代化密切相关的法律法规</w:t>
            </w:r>
            <w:r>
              <w:rPr>
                <w:rFonts w:ascii="黑体" w:eastAsia="黑体" w:hAnsi="黑体" w:cs="Arial" w:hint="eastAsia"/>
                <w:color w:val="222222"/>
              </w:rPr>
              <w:t>：</w:t>
            </w:r>
          </w:p>
          <w:p w:rsidR="002343F9" w:rsidRDefault="002343F9" w:rsidP="00C74D95">
            <w:pPr>
              <w:pStyle w:val="a3"/>
              <w:shd w:val="clear" w:color="auto" w:fill="FFFFFF"/>
              <w:spacing w:before="0" w:beforeAutospacing="0" w:after="0" w:afterAutospacing="0" w:line="300" w:lineRule="exact"/>
              <w:ind w:firstLineChars="200" w:firstLine="480"/>
              <w:jc w:val="both"/>
              <w:rPr>
                <w:rFonts w:ascii="黑体" w:eastAsia="黑体" w:hAnsi="黑体" w:cs="Arial"/>
                <w:color w:val="222222"/>
              </w:rPr>
            </w:pPr>
            <w:r>
              <w:rPr>
                <w:rFonts w:ascii="华文仿宋" w:eastAsia="华文仿宋" w:hAnsi="华文仿宋" w:cs="Arial"/>
                <w:color w:val="222222"/>
              </w:rPr>
              <w:t>深入学习国家安全法、网络安全法</w:t>
            </w:r>
            <w:r>
              <w:rPr>
                <w:rFonts w:ascii="华文仿宋" w:eastAsia="华文仿宋" w:hAnsi="华文仿宋" w:cs="Arial" w:hint="eastAsia"/>
                <w:color w:val="222222"/>
              </w:rPr>
              <w:t>，反恐怖主义法</w:t>
            </w:r>
            <w:r>
              <w:rPr>
                <w:rFonts w:ascii="华文仿宋" w:eastAsia="华文仿宋" w:hAnsi="华文仿宋" w:cs="Arial"/>
                <w:color w:val="222222"/>
              </w:rPr>
              <w:t>等，推动领导干部贯彻落实总体国家安全观。深入学习刑法、刑事诉讼法、治安管理处罚法、反有组织犯罪法、社区矫正法、法律援助法、信访工作条例等，学习有关生态文明建设、食品药品安全、毒品预防、反诈防骗、防范非法集资、社区管理服务、防治家庭暴力、个人信息保护等方面的法律法规。学习行政许可法、行政处罚法、行政复议法、行政诉讼法、公职人员政务处分法、公务员法等，强化依法行政意识。</w:t>
            </w:r>
          </w:p>
        </w:tc>
        <w:tc>
          <w:tcPr>
            <w:tcW w:w="1722" w:type="dxa"/>
            <w:vMerge/>
          </w:tcPr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</w:p>
        </w:tc>
      </w:tr>
      <w:tr w:rsidR="002343F9" w:rsidTr="00C74D95">
        <w:trPr>
          <w:trHeight w:val="2354"/>
        </w:trPr>
        <w:tc>
          <w:tcPr>
            <w:tcW w:w="1466" w:type="dxa"/>
            <w:vMerge/>
            <w:vAlign w:val="center"/>
          </w:tcPr>
          <w:p w:rsidR="002343F9" w:rsidRDefault="002343F9" w:rsidP="00C74D95">
            <w:pPr>
              <w:pStyle w:val="a3"/>
              <w:spacing w:before="0" w:beforeAutospacing="0" w:after="0" w:afterAutospacing="0" w:line="420" w:lineRule="exact"/>
              <w:jc w:val="center"/>
              <w:rPr>
                <w:rFonts w:ascii="华文仿宋" w:eastAsia="华文仿宋" w:hAnsi="华文仿宋" w:cs="Arial"/>
                <w:b/>
                <w:color w:val="222222"/>
              </w:rPr>
            </w:pPr>
          </w:p>
        </w:tc>
        <w:tc>
          <w:tcPr>
            <w:tcW w:w="5334" w:type="dxa"/>
            <w:vAlign w:val="center"/>
          </w:tcPr>
          <w:p w:rsidR="002343F9" w:rsidRDefault="002343F9" w:rsidP="00C74D95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黑体" w:eastAsia="黑体" w:hAnsi="黑体" w:cs="Arial"/>
                <w:color w:val="222222"/>
              </w:rPr>
            </w:pPr>
            <w:r>
              <w:rPr>
                <w:rFonts w:ascii="黑体" w:eastAsia="黑体" w:hAnsi="黑体" w:cs="Arial"/>
                <w:color w:val="222222"/>
              </w:rPr>
              <w:t>学习地方性法规和规章。</w:t>
            </w:r>
          </w:p>
          <w:p w:rsidR="002343F9" w:rsidRDefault="002343F9" w:rsidP="00C74D95">
            <w:pPr>
              <w:pStyle w:val="a3"/>
              <w:spacing w:before="0" w:beforeAutospacing="0" w:after="0" w:afterAutospacing="0" w:line="300" w:lineRule="exact"/>
              <w:ind w:firstLineChars="200" w:firstLine="480"/>
              <w:jc w:val="both"/>
              <w:rPr>
                <w:rFonts w:ascii="黑体" w:eastAsia="黑体" w:hAnsi="黑体" w:cs="Arial"/>
                <w:color w:val="222222"/>
              </w:rPr>
            </w:pPr>
            <w:r>
              <w:rPr>
                <w:rFonts w:ascii="华文仿宋" w:eastAsia="华文仿宋" w:hAnsi="华文仿宋" w:cs="Arial"/>
                <w:color w:val="222222"/>
              </w:rPr>
              <w:t>深入学习《</w:t>
            </w:r>
            <w:r>
              <w:rPr>
                <w:rFonts w:ascii="华文仿宋" w:eastAsia="华文仿宋" w:hAnsi="华文仿宋" w:cs="Arial" w:hint="eastAsia"/>
                <w:color w:val="222222"/>
              </w:rPr>
              <w:t>江门市文明促进条例</w:t>
            </w:r>
            <w:r>
              <w:rPr>
                <w:rFonts w:ascii="华文仿宋" w:eastAsia="华文仿宋" w:hAnsi="华文仿宋" w:cs="Arial"/>
                <w:color w:val="222222"/>
              </w:rPr>
              <w:t>》《江门市海上丝绸之路史迹保护条例》《江门市新会陈皮保护条例》《江门市历史文化街区和历史建筑保护条例》《江门市扬尘污染防治条例》《江门市潭江流域水质保护条例》《江门市市区山体保护条例》等地方性法规和规章。</w:t>
            </w:r>
          </w:p>
        </w:tc>
        <w:tc>
          <w:tcPr>
            <w:tcW w:w="1722" w:type="dxa"/>
            <w:vMerge/>
          </w:tcPr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</w:p>
        </w:tc>
      </w:tr>
      <w:tr w:rsidR="002343F9" w:rsidTr="00C74D95">
        <w:tc>
          <w:tcPr>
            <w:tcW w:w="1466" w:type="dxa"/>
            <w:vAlign w:val="center"/>
          </w:tcPr>
          <w:p w:rsidR="002343F9" w:rsidRDefault="002343F9" w:rsidP="00C74D95">
            <w:pPr>
              <w:pStyle w:val="a3"/>
              <w:spacing w:before="0" w:beforeAutospacing="0" w:after="0" w:afterAutospacing="0" w:line="420" w:lineRule="exact"/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华文仿宋" w:eastAsia="华文仿宋" w:hAnsi="华文仿宋" w:cs="Arial" w:hint="eastAsia"/>
                <w:b/>
                <w:color w:val="222222"/>
              </w:rPr>
              <w:t>专业清单</w:t>
            </w:r>
          </w:p>
        </w:tc>
        <w:tc>
          <w:tcPr>
            <w:tcW w:w="5334" w:type="dxa"/>
            <w:vAlign w:val="center"/>
          </w:tcPr>
          <w:p w:rsidR="002343F9" w:rsidRDefault="002343F9" w:rsidP="00C74D95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华文仿宋" w:eastAsia="华文仿宋" w:hAnsi="华文仿宋" w:cs="Arial"/>
                <w:color w:val="222222"/>
              </w:rPr>
            </w:pPr>
            <w:r>
              <w:rPr>
                <w:rFonts w:ascii="华文仿宋" w:eastAsia="华文仿宋" w:hAnsi="华文仿宋" w:cs="Arial" w:hint="eastAsia"/>
                <w:color w:val="222222"/>
              </w:rPr>
              <w:t>与行业职责紧密相关的法律法规规章等，各部门根据职能，按上报的领导干部应知应会法律法规清单组织学习。</w:t>
            </w:r>
          </w:p>
        </w:tc>
        <w:tc>
          <w:tcPr>
            <w:tcW w:w="1722" w:type="dxa"/>
            <w:vMerge/>
          </w:tcPr>
          <w:p w:rsidR="002343F9" w:rsidRDefault="002343F9" w:rsidP="00C74D95">
            <w:pPr>
              <w:pStyle w:val="a3"/>
              <w:spacing w:before="0" w:beforeAutospacing="0" w:after="0" w:afterAutospacing="0" w:line="320" w:lineRule="exact"/>
              <w:rPr>
                <w:rFonts w:ascii="华文仿宋" w:eastAsia="华文仿宋" w:hAnsi="华文仿宋" w:cs="Arial"/>
                <w:color w:val="222222"/>
              </w:rPr>
            </w:pPr>
          </w:p>
        </w:tc>
      </w:tr>
    </w:tbl>
    <w:p w:rsidR="007657CC" w:rsidRDefault="007657CC"/>
    <w:sectPr w:rsidR="007657CC" w:rsidSect="00D479A0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2E5" w:rsidRDefault="00E122E5" w:rsidP="003D5DAF">
      <w:r>
        <w:separator/>
      </w:r>
    </w:p>
  </w:endnote>
  <w:endnote w:type="continuationSeparator" w:id="0">
    <w:p w:rsidR="00E122E5" w:rsidRDefault="00E122E5" w:rsidP="003D5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2E5" w:rsidRDefault="00E122E5" w:rsidP="003D5DAF">
      <w:r>
        <w:separator/>
      </w:r>
    </w:p>
  </w:footnote>
  <w:footnote w:type="continuationSeparator" w:id="0">
    <w:p w:rsidR="00E122E5" w:rsidRDefault="00E122E5" w:rsidP="003D5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3F9"/>
    <w:rsid w:val="002343F9"/>
    <w:rsid w:val="003D5DAF"/>
    <w:rsid w:val="0062017C"/>
    <w:rsid w:val="007657CC"/>
    <w:rsid w:val="00E1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343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2343F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D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D5DA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D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D5D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2023-05-29T07:18:00Z</dcterms:created>
  <dcterms:modified xsi:type="dcterms:W3CDTF">2023-05-29T07:19:00Z</dcterms:modified>
</cp:coreProperties>
</file>