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hint="eastAsia" w:ascii="仿宋_GB2312" w:hAnsi="仿宋_GB2312" w:eastAsia="仿宋_GB2312" w:cs="仿宋_GB2312"/>
          <w:b/>
          <w:bCs/>
          <w:color w:val="000000"/>
          <w:sz w:val="32"/>
          <w:szCs w:val="32"/>
          <w:shd w:val="clear" w:color="auto" w:fill="FFFFFF"/>
        </w:rPr>
      </w:pPr>
      <w:r>
        <w:rPr>
          <w:rFonts w:hint="eastAsia" w:ascii="仿宋_GB2312" w:hAnsi="仿宋_GB2312" w:eastAsia="仿宋_GB2312" w:cs="仿宋_GB2312"/>
          <w:b/>
          <w:bCs/>
          <w:color w:val="000000"/>
          <w:sz w:val="32"/>
          <w:szCs w:val="32"/>
          <w:shd w:val="clear" w:color="auto" w:fill="FFFFFF"/>
        </w:rPr>
        <w:t>附件2</w:t>
      </w:r>
    </w:p>
    <w:p>
      <w:pPr>
        <w:widowControl/>
        <w:spacing w:line="560" w:lineRule="exact"/>
        <w:jc w:val="left"/>
        <w:rPr>
          <w:rFonts w:hint="eastAsia" w:ascii="仿宋_GB2312" w:hAnsi="仿宋_GB2312" w:eastAsia="仿宋_GB2312" w:cs="仿宋_GB2312"/>
          <w:b/>
          <w:bCs/>
          <w:color w:val="000000"/>
          <w:sz w:val="32"/>
          <w:szCs w:val="32"/>
          <w:shd w:val="clear" w:color="auto" w:fill="FFFFFF"/>
        </w:rPr>
      </w:pPr>
    </w:p>
    <w:p>
      <w:pPr>
        <w:spacing w:line="560" w:lineRule="exact"/>
        <w:jc w:val="center"/>
        <w:rPr>
          <w:rFonts w:eastAsia="方正小标宋简体"/>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4</w:t>
      </w:r>
      <w:r>
        <w:rPr>
          <w:rFonts w:hint="eastAsia" w:ascii="方正小标宋简体" w:hAnsi="方正小标宋简体" w:eastAsia="方正小标宋简体" w:cs="方正小标宋简体"/>
          <w:sz w:val="44"/>
          <w:szCs w:val="44"/>
        </w:rPr>
        <w:t>年省</w:t>
      </w:r>
      <w:r>
        <w:rPr>
          <w:rFonts w:hint="eastAsia" w:ascii="方正小标宋简体" w:hAnsi="方正小标宋简体" w:eastAsia="方正小标宋简体" w:cs="方正小标宋简体"/>
          <w:sz w:val="44"/>
          <w:szCs w:val="44"/>
          <w:lang w:val="en-US" w:eastAsia="zh-CN"/>
        </w:rPr>
        <w:t>级</w:t>
      </w:r>
      <w:r>
        <w:rPr>
          <w:rFonts w:hint="eastAsia" w:ascii="方正小标宋简体" w:hAnsi="方正小标宋简体" w:eastAsia="方正小标宋简体" w:cs="方正小标宋简体"/>
          <w:sz w:val="44"/>
          <w:szCs w:val="44"/>
        </w:rPr>
        <w:t>制造业当家重点任务保障专项企业技术改造资金</w:t>
      </w:r>
      <w:r>
        <w:rPr>
          <w:rFonts w:hint="eastAsia" w:ascii="方正小标宋简体" w:hAnsi="方正小标宋简体" w:eastAsia="方正小标宋简体" w:cs="方正小标宋简体"/>
          <w:sz w:val="44"/>
          <w:szCs w:val="44"/>
          <w:lang w:val="en-US" w:eastAsia="zh-CN"/>
        </w:rPr>
        <w:t>（</w:t>
      </w:r>
      <w:r>
        <w:rPr>
          <w:rFonts w:hint="eastAsia" w:ascii="方正小标宋简体" w:hAnsi="方正小标宋简体" w:eastAsia="方正小标宋简体" w:cs="方正小标宋简体"/>
          <w:sz w:val="44"/>
          <w:szCs w:val="44"/>
          <w:lang w:val="zh-CN" w:eastAsia="zh-CN"/>
        </w:rPr>
        <w:t>技改金融政策</w:t>
      </w:r>
      <w:r>
        <w:rPr>
          <w:rFonts w:hint="eastAsia" w:ascii="方正小标宋简体" w:hAnsi="方正小标宋简体" w:eastAsia="方正小标宋简体" w:cs="方正小标宋简体"/>
          <w:sz w:val="44"/>
          <w:szCs w:val="44"/>
          <w:lang w:val="en-US" w:eastAsia="zh-CN"/>
        </w:rPr>
        <w:t>）</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sz w:val="44"/>
          <w:szCs w:val="44"/>
        </w:rPr>
        <w:t>库申报</w:t>
      </w:r>
      <w:r>
        <w:rPr>
          <w:rFonts w:hint="eastAsia" w:ascii="方正小标宋简体" w:hAnsi="方正小标宋简体" w:eastAsia="方正小标宋简体" w:cs="方正小标宋简体"/>
          <w:color w:val="000000"/>
          <w:sz w:val="44"/>
          <w:szCs w:val="44"/>
          <w:lang w:val="en-US" w:eastAsia="zh-CN"/>
        </w:rPr>
        <w:t>指南</w:t>
      </w:r>
    </w:p>
    <w:p>
      <w:pPr>
        <w:pStyle w:val="7"/>
        <w:widowControl w:val="0"/>
        <w:shd w:val="clear" w:color="auto" w:fill="FFFFFF"/>
        <w:spacing w:line="560" w:lineRule="exact"/>
        <w:ind w:firstLine="320" w:firstLineChars="100"/>
        <w:jc w:val="both"/>
        <w:rPr>
          <w:rFonts w:ascii="Times New Roman" w:hAnsi="Times New Roman" w:eastAsia="黑体"/>
          <w:color w:val="000000"/>
          <w:sz w:val="32"/>
          <w:szCs w:val="32"/>
          <w:shd w:val="clear" w:color="auto" w:fill="FFFFFF"/>
        </w:rPr>
      </w:pPr>
    </w:p>
    <w:p>
      <w:pPr>
        <w:keepNext w:val="0"/>
        <w:keepLines w:val="0"/>
        <w:pageBreakBefore w:val="0"/>
        <w:widowControl/>
        <w:numPr>
          <w:ilvl w:val="0"/>
          <w:numId w:val="1"/>
        </w:numPr>
        <w:kinsoku/>
        <w:wordWrap/>
        <w:overflowPunct/>
        <w:topLinePunct w:val="0"/>
        <w:autoSpaceDN/>
        <w:bidi w:val="0"/>
        <w:snapToGrid/>
        <w:spacing w:line="560" w:lineRule="exact"/>
        <w:jc w:val="left"/>
        <w:textAlignment w:val="auto"/>
        <w:rPr>
          <w:rFonts w:hint="eastAsia" w:ascii="方正黑体_GBK" w:hAnsi="方正黑体_GBK" w:eastAsia="方正黑体_GBK" w:cs="方正黑体_GBK"/>
          <w:sz w:val="32"/>
          <w:szCs w:val="32"/>
          <w:lang w:val="zh-CN"/>
        </w:rPr>
      </w:pPr>
      <w:r>
        <w:rPr>
          <w:rFonts w:hint="eastAsia" w:ascii="方正黑体_GBK" w:hAnsi="方正黑体_GBK" w:eastAsia="方正黑体_GBK" w:cs="方正黑体_GBK"/>
          <w:sz w:val="32"/>
          <w:szCs w:val="32"/>
          <w:lang w:val="zh-CN"/>
        </w:rPr>
        <w:t>支持方式</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2" w:firstLineChars="200"/>
        <w:jc w:val="left"/>
        <w:textAlignment w:val="auto"/>
        <w:rPr>
          <w:rFonts w:hint="eastAsia" w:ascii="仿宋_GB2312" w:hAnsi="仿宋_GB2312" w:eastAsia="仿宋_GB2312" w:cs="仿宋_GB2312"/>
          <w:b/>
          <w:bCs/>
          <w:sz w:val="32"/>
          <w:szCs w:val="32"/>
          <w:lang w:val="zh-CN"/>
        </w:rPr>
      </w:pPr>
      <w:r>
        <w:rPr>
          <w:rFonts w:hint="eastAsia" w:ascii="仿宋_GB2312" w:hAnsi="仿宋_GB2312" w:eastAsia="仿宋_GB2312" w:cs="仿宋_GB2312"/>
          <w:b/>
          <w:bCs/>
          <w:sz w:val="32"/>
          <w:szCs w:val="32"/>
          <w:lang w:eastAsia="zh-CN"/>
        </w:rPr>
        <w:t>（一）</w:t>
      </w:r>
      <w:r>
        <w:rPr>
          <w:rFonts w:hint="eastAsia" w:ascii="仿宋_GB2312" w:hAnsi="仿宋_GB2312" w:eastAsia="仿宋_GB2312" w:cs="仿宋_GB2312"/>
          <w:b/>
          <w:bCs/>
          <w:sz w:val="32"/>
          <w:szCs w:val="32"/>
        </w:rPr>
        <w:t>银行贷款贴息方式</w:t>
      </w:r>
    </w:p>
    <w:p>
      <w:pPr>
        <w:keepNext w:val="0"/>
        <w:keepLines w:val="0"/>
        <w:pageBreakBefore w:val="0"/>
        <w:widowControl/>
        <w:kinsoku/>
        <w:wordWrap/>
        <w:overflowPunct/>
        <w:topLinePunct w:val="0"/>
        <w:autoSpaceDN/>
        <w:bidi w:val="0"/>
        <w:snapToGrid/>
        <w:spacing w:line="560" w:lineRule="exact"/>
        <w:ind w:firstLine="640" w:firstLineChars="200"/>
        <w:jc w:val="left"/>
        <w:textAlignment w:val="auto"/>
        <w:rPr>
          <w:rFonts w:hint="eastAsia" w:ascii="楷体_GB2312" w:hAnsi="楷体_GB2312" w:eastAsia="楷体_GB2312" w:cs="楷体_GB2312"/>
          <w:sz w:val="32"/>
          <w:szCs w:val="32"/>
          <w:lang w:val="zh-CN"/>
        </w:rPr>
      </w:pPr>
      <w:r>
        <w:rPr>
          <w:rFonts w:hint="eastAsia" w:ascii="楷体_GB2312" w:hAnsi="楷体_GB2312" w:eastAsia="楷体_GB2312" w:cs="楷体_GB2312"/>
          <w:sz w:val="32"/>
          <w:szCs w:val="32"/>
          <w:lang w:val="zh-CN"/>
        </w:rPr>
        <w:t>1.</w:t>
      </w:r>
      <w:r>
        <w:rPr>
          <w:rFonts w:hint="eastAsia" w:ascii="楷体_GB2312" w:hAnsi="楷体_GB2312" w:eastAsia="楷体_GB2312" w:cs="楷体_GB2312"/>
          <w:sz w:val="32"/>
          <w:szCs w:val="32"/>
        </w:rPr>
        <w:t>支持内容</w:t>
      </w:r>
    </w:p>
    <w:p>
      <w:pPr>
        <w:pStyle w:val="17"/>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kern w:val="2"/>
          <w:sz w:val="32"/>
          <w:szCs w:val="32"/>
        </w:rPr>
      </w:pPr>
      <w:r>
        <w:rPr>
          <w:rFonts w:hint="eastAsia" w:ascii="仿宋_GB2312" w:eastAsia="仿宋_GB2312"/>
          <w:kern w:val="2"/>
          <w:sz w:val="32"/>
          <w:szCs w:val="32"/>
        </w:rPr>
        <w:t>鼓励金融机构加大对技术改造项目的扶持，加强银企合作，发挥财政资金的引导放大效应，促进技术改造投资和工业投资发展。财政贴息资金实行先付后贴的原则，企业凭贷款融资银行开具的利息支付清单申请贴息。对未按合同规定归还的逾期贷款利息、加息和罚息及日常经营活动所需的流动资金借款等，不予贴息。</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楷体_GB2312"/>
          <w:sz w:val="32"/>
          <w:szCs w:val="32"/>
        </w:rPr>
      </w:pPr>
      <w:r>
        <w:rPr>
          <w:rFonts w:hint="eastAsia" w:ascii="楷体_GB2312" w:eastAsia="楷体_GB2312"/>
          <w:sz w:val="32"/>
          <w:szCs w:val="32"/>
        </w:rPr>
        <w:t>2.支持方式及标准</w:t>
      </w:r>
    </w:p>
    <w:p>
      <w:pPr>
        <w:keepNext w:val="0"/>
        <w:keepLines w:val="0"/>
        <w:pageBreakBefore w:val="0"/>
        <w:widowControl/>
        <w:kinsoku/>
        <w:wordWrap/>
        <w:overflowPunct/>
        <w:topLinePunct w:val="0"/>
        <w:autoSpaceDN/>
        <w:bidi w:val="0"/>
        <w:snapToGrid/>
        <w:spacing w:line="560" w:lineRule="exact"/>
        <w:ind w:firstLine="640" w:firstLineChars="200"/>
        <w:jc w:val="left"/>
        <w:textAlignment w:val="auto"/>
        <w:rPr>
          <w:rFonts w:eastAsia="仿宋_GB2312"/>
          <w:sz w:val="32"/>
          <w:szCs w:val="32"/>
        </w:rPr>
      </w:pPr>
      <w:r>
        <w:rPr>
          <w:rFonts w:hint="eastAsia" w:ascii="仿宋_GB2312" w:eastAsia="仿宋_GB2312"/>
          <w:sz w:val="32"/>
          <w:szCs w:val="32"/>
        </w:rPr>
        <w:t>贷款贴息采取事后补贴方式，对符合条件的技术改造完工项目，按已支付利息额不超过</w:t>
      </w:r>
      <w:r>
        <w:rPr>
          <w:rFonts w:hint="eastAsia" w:eastAsia="仿宋_GB2312"/>
          <w:sz w:val="32"/>
          <w:szCs w:val="32"/>
        </w:rPr>
        <w:t>30%</w:t>
      </w:r>
      <w:r>
        <w:rPr>
          <w:rFonts w:hint="eastAsia" w:ascii="仿宋_GB2312" w:eastAsia="仿宋_GB2312"/>
          <w:sz w:val="32"/>
          <w:szCs w:val="32"/>
        </w:rPr>
        <w:t>给予补贴（具体比例可结合当年预算额度及入库项目情况确定），单个项目贴息期不超过</w:t>
      </w:r>
      <w:r>
        <w:rPr>
          <w:rFonts w:hint="eastAsia" w:eastAsia="仿宋_GB2312"/>
          <w:sz w:val="32"/>
          <w:szCs w:val="32"/>
        </w:rPr>
        <w:t>3</w:t>
      </w:r>
      <w:r>
        <w:rPr>
          <w:rFonts w:hint="eastAsia" w:ascii="仿宋_GB2312" w:eastAsia="仿宋_GB2312"/>
          <w:sz w:val="32"/>
          <w:szCs w:val="32"/>
        </w:rPr>
        <w:t>年，单个企业单个自然年最高贴息</w:t>
      </w:r>
      <w:r>
        <w:rPr>
          <w:rFonts w:hint="eastAsia" w:eastAsia="仿宋_GB2312"/>
          <w:sz w:val="32"/>
          <w:szCs w:val="32"/>
        </w:rPr>
        <w:t>200</w:t>
      </w:r>
      <w:r>
        <w:rPr>
          <w:rFonts w:hint="eastAsia" w:ascii="仿宋_GB2312" w:eastAsia="仿宋_GB2312"/>
          <w:sz w:val="32"/>
          <w:szCs w:val="32"/>
        </w:rPr>
        <w:t>万元。</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楷体_GB2312"/>
          <w:sz w:val="32"/>
          <w:szCs w:val="32"/>
        </w:rPr>
      </w:pPr>
      <w:r>
        <w:rPr>
          <w:rFonts w:hint="eastAsia" w:ascii="楷体_GB2312" w:eastAsia="楷体_GB2312"/>
          <w:sz w:val="32"/>
          <w:szCs w:val="32"/>
        </w:rPr>
        <w:t>3.入库要求</w:t>
      </w:r>
    </w:p>
    <w:p>
      <w:pPr>
        <w:keepNext w:val="0"/>
        <w:keepLines w:val="0"/>
        <w:pageBreakBefore w:val="0"/>
        <w:widowControl/>
        <w:kinsoku/>
        <w:wordWrap/>
        <w:overflowPunct/>
        <w:topLinePunct w:val="0"/>
        <w:autoSpaceDE w:val="0"/>
        <w:autoSpaceDN/>
        <w:bidi w:val="0"/>
        <w:snapToGrid/>
        <w:spacing w:line="560" w:lineRule="exact"/>
        <w:ind w:firstLine="640" w:firstLineChars="200"/>
        <w:jc w:val="left"/>
        <w:textAlignment w:val="auto"/>
        <w:rPr>
          <w:rFonts w:hint="eastAsia" w:ascii="仿宋_GB2312" w:eastAsia="仿宋_GB2312"/>
          <w:sz w:val="32"/>
          <w:szCs w:val="32"/>
        </w:rPr>
      </w:pPr>
      <w:r>
        <w:rPr>
          <w:rFonts w:hint="eastAsia" w:eastAsia="仿宋_GB2312"/>
          <w:sz w:val="32"/>
          <w:szCs w:val="32"/>
        </w:rPr>
        <w:t>（1）</w:t>
      </w:r>
      <w:r>
        <w:rPr>
          <w:rFonts w:ascii="仿宋_GB2312" w:eastAsia="仿宋_GB2312"/>
          <w:sz w:val="32"/>
          <w:szCs w:val="32"/>
        </w:rPr>
        <w:t>项目在广东省内实施，项目承担单位为</w:t>
      </w:r>
      <w:r>
        <w:rPr>
          <w:rFonts w:hint="eastAsia" w:ascii="仿宋_GB2312" w:eastAsia="仿宋_GB2312"/>
          <w:sz w:val="32"/>
          <w:szCs w:val="32"/>
        </w:rPr>
        <w:t>依法</w:t>
      </w:r>
      <w:r>
        <w:rPr>
          <w:rFonts w:ascii="仿宋_GB2312" w:eastAsia="仿宋_GB2312"/>
          <w:sz w:val="32"/>
          <w:szCs w:val="32"/>
        </w:rPr>
        <w:t>登记注册且在广东生产经营、具有独立法人资格，诚信经营、依法纳税的工业企业</w:t>
      </w:r>
      <w:r>
        <w:rPr>
          <w:rFonts w:hint="eastAsia" w:ascii="仿宋_GB2312" w:eastAsia="仿宋_GB2312"/>
          <w:sz w:val="32"/>
          <w:szCs w:val="32"/>
        </w:rPr>
        <w:t>。</w:t>
      </w:r>
    </w:p>
    <w:p>
      <w:pPr>
        <w:keepNext w:val="0"/>
        <w:keepLines w:val="0"/>
        <w:pageBreakBefore w:val="0"/>
        <w:widowControl/>
        <w:kinsoku/>
        <w:wordWrap/>
        <w:overflowPunct/>
        <w:topLinePunct w:val="0"/>
        <w:autoSpaceDE w:val="0"/>
        <w:autoSpaceDN/>
        <w:bidi w:val="0"/>
        <w:snapToGrid/>
        <w:spacing w:line="560" w:lineRule="exact"/>
        <w:ind w:firstLine="640" w:firstLineChars="200"/>
        <w:jc w:val="left"/>
        <w:textAlignment w:val="auto"/>
        <w:rPr>
          <w:rFonts w:ascii="仿宋_GB2312" w:eastAsia="仿宋_GB2312"/>
          <w:sz w:val="32"/>
          <w:szCs w:val="32"/>
        </w:rPr>
      </w:pPr>
      <w:r>
        <w:rPr>
          <w:rFonts w:hint="eastAsia" w:eastAsia="仿宋_GB2312"/>
          <w:sz w:val="32"/>
          <w:szCs w:val="32"/>
        </w:rPr>
        <w:t>（2）</w:t>
      </w:r>
      <w:r>
        <w:rPr>
          <w:rFonts w:ascii="仿宋_GB2312" w:eastAsia="仿宋_GB2312"/>
          <w:sz w:val="32"/>
          <w:szCs w:val="32"/>
        </w:rPr>
        <w:t>项目应符合国家</w:t>
      </w:r>
      <w:r>
        <w:rPr>
          <w:rFonts w:hint="eastAsia" w:ascii="仿宋_GB2312" w:eastAsia="仿宋_GB2312"/>
          <w:sz w:val="32"/>
          <w:szCs w:val="32"/>
        </w:rPr>
        <w:t>、</w:t>
      </w:r>
      <w:r>
        <w:rPr>
          <w:rFonts w:ascii="仿宋_GB2312" w:eastAsia="仿宋_GB2312"/>
          <w:sz w:val="32"/>
          <w:szCs w:val="32"/>
        </w:rPr>
        <w:t>省产业政策</w:t>
      </w:r>
      <w:r>
        <w:rPr>
          <w:rFonts w:hint="eastAsia" w:ascii="仿宋_GB2312" w:eastAsia="仿宋_GB2312"/>
          <w:sz w:val="32"/>
          <w:szCs w:val="32"/>
        </w:rPr>
        <w:t>和项目所在地地级以上市重点产业发展方向。</w:t>
      </w:r>
      <w:r>
        <w:rPr>
          <w:rFonts w:ascii="仿宋_GB2312" w:eastAsia="仿宋_GB2312"/>
          <w:sz w:val="32"/>
          <w:szCs w:val="32"/>
        </w:rPr>
        <w:t>具备在工业和信息化主管部门备案、核准或审批等文件。</w:t>
      </w:r>
    </w:p>
    <w:p>
      <w:pPr>
        <w:keepNext w:val="0"/>
        <w:keepLines w:val="0"/>
        <w:pageBreakBefore w:val="0"/>
        <w:widowControl/>
        <w:kinsoku/>
        <w:wordWrap/>
        <w:overflowPunct/>
        <w:topLinePunct w:val="0"/>
        <w:autoSpaceDE w:val="0"/>
        <w:autoSpaceDN/>
        <w:bidi w:val="0"/>
        <w:snapToGrid/>
        <w:spacing w:line="560" w:lineRule="exact"/>
        <w:ind w:firstLine="640" w:firstLineChars="200"/>
        <w:jc w:val="left"/>
        <w:textAlignment w:val="auto"/>
        <w:rPr>
          <w:rFonts w:ascii="仿宋_GB2312" w:eastAsia="仿宋_GB2312"/>
          <w:sz w:val="32"/>
          <w:szCs w:val="32"/>
        </w:rPr>
      </w:pPr>
      <w:r>
        <w:rPr>
          <w:rFonts w:hint="eastAsia" w:eastAsia="仿宋_GB2312"/>
          <w:sz w:val="32"/>
          <w:szCs w:val="32"/>
        </w:rPr>
        <w:t>（3）</w:t>
      </w:r>
      <w:r>
        <w:rPr>
          <w:rFonts w:ascii="仿宋_GB2312" w:eastAsia="仿宋_GB2312"/>
          <w:sz w:val="32"/>
          <w:szCs w:val="32"/>
        </w:rPr>
        <w:t>项目承担单位从银行获得固定资产贷款，且贷款额度不低于（含）</w:t>
      </w:r>
      <w:r>
        <w:rPr>
          <w:rFonts w:eastAsia="仿宋_GB2312"/>
          <w:sz w:val="32"/>
          <w:szCs w:val="32"/>
        </w:rPr>
        <w:t>100</w:t>
      </w:r>
      <w:r>
        <w:rPr>
          <w:rFonts w:ascii="仿宋_GB2312" w:eastAsia="仿宋_GB2312"/>
          <w:sz w:val="32"/>
          <w:szCs w:val="32"/>
        </w:rPr>
        <w:t>万元，在贴息期内无不良信贷记录，贷款资金用于申报的技术改造项目建设。</w:t>
      </w:r>
    </w:p>
    <w:p>
      <w:pPr>
        <w:keepNext w:val="0"/>
        <w:keepLines w:val="0"/>
        <w:pageBreakBefore w:val="0"/>
        <w:widowControl/>
        <w:kinsoku/>
        <w:wordWrap/>
        <w:overflowPunct/>
        <w:topLinePunct w:val="0"/>
        <w:autoSpaceDE w:val="0"/>
        <w:autoSpaceDN/>
        <w:bidi w:val="0"/>
        <w:snapToGrid/>
        <w:spacing w:line="560" w:lineRule="exact"/>
        <w:ind w:firstLine="640" w:firstLineChars="200"/>
        <w:jc w:val="left"/>
        <w:textAlignment w:val="auto"/>
        <w:rPr>
          <w:rFonts w:hint="eastAsia" w:ascii="Times New Roman" w:hAnsi="Times New Roman" w:eastAsia="仿宋_GB2312" w:cs="Times New Roman"/>
          <w:sz w:val="32"/>
          <w:szCs w:val="32"/>
          <w:lang w:eastAsia="zh-CN" w:bidi="ar"/>
        </w:rPr>
      </w:pPr>
      <w:r>
        <w:rPr>
          <w:rFonts w:hint="eastAsia" w:eastAsia="仿宋_GB2312"/>
          <w:sz w:val="32"/>
          <w:szCs w:val="32"/>
        </w:rPr>
        <w:t>（4）</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val="0"/>
          <w:bCs w:val="0"/>
          <w:color w:val="auto"/>
          <w:kern w:val="2"/>
          <w:sz w:val="32"/>
          <w:szCs w:val="32"/>
          <w:u w:val="none" w:color="auto"/>
          <w:lang w:val="en-US" w:eastAsia="zh-CN" w:bidi="ar"/>
        </w:rPr>
        <w:t>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w:t>
      </w:r>
      <w:r>
        <w:rPr>
          <w:rFonts w:hint="eastAsia" w:eastAsia="仿宋_GB2312" w:cs="Times New Roman"/>
          <w:sz w:val="32"/>
          <w:szCs w:val="32"/>
          <w:lang w:eastAsia="zh-CN" w:bidi="ar"/>
        </w:rPr>
        <w:t>，</w:t>
      </w:r>
      <w:r>
        <w:rPr>
          <w:rFonts w:hint="eastAsia" w:ascii="Times New Roman" w:hAnsi="Times New Roman" w:eastAsia="仿宋_GB2312" w:cs="Times New Roman"/>
          <w:sz w:val="32"/>
          <w:szCs w:val="32"/>
          <w:lang w:bidi="ar"/>
        </w:rPr>
        <w:t>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keepNext w:val="0"/>
        <w:keepLines w:val="0"/>
        <w:pageBreakBefore w:val="0"/>
        <w:widowControl/>
        <w:kinsoku/>
        <w:wordWrap/>
        <w:overflowPunct/>
        <w:topLinePunct w:val="0"/>
        <w:autoSpaceDE w:val="0"/>
        <w:autoSpaceDN/>
        <w:bidi w:val="0"/>
        <w:snapToGrid/>
        <w:spacing w:line="560" w:lineRule="exact"/>
        <w:ind w:firstLine="640" w:firstLineChars="200"/>
        <w:jc w:val="left"/>
        <w:textAlignment w:val="auto"/>
        <w:rPr>
          <w:rFonts w:hint="eastAsia" w:ascii="仿宋_GB2312" w:eastAsia="仿宋_GB2312"/>
          <w:sz w:val="32"/>
          <w:szCs w:val="32"/>
        </w:rPr>
      </w:pPr>
      <w:r>
        <w:rPr>
          <w:rFonts w:hint="eastAsia" w:eastAsia="仿宋_GB2312"/>
          <w:sz w:val="32"/>
          <w:szCs w:val="32"/>
        </w:rPr>
        <w:t>（5）</w:t>
      </w:r>
      <w:r>
        <w:rPr>
          <w:rFonts w:hint="eastAsia" w:eastAsia="仿宋_GB2312" w:cs="Times New Roman"/>
          <w:color w:val="auto"/>
          <w:sz w:val="32"/>
          <w:szCs w:val="32"/>
          <w:lang w:val="en-US" w:eastAsia="zh-CN" w:bidi="ar"/>
        </w:rPr>
        <w:t>贷款利息</w:t>
      </w:r>
      <w:r>
        <w:rPr>
          <w:rFonts w:hint="eastAsia" w:eastAsia="仿宋_GB2312" w:cs="Times New Roman"/>
          <w:sz w:val="32"/>
          <w:szCs w:val="32"/>
          <w:lang w:val="en-US" w:eastAsia="zh-CN" w:bidi="ar"/>
        </w:rPr>
        <w:t>是指该技术改造项目固定资产贷款在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0</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w:t>
      </w:r>
      <w:r>
        <w:rPr>
          <w:rFonts w:hint="eastAsia" w:eastAsia="仿宋_GB2312" w:cs="Times New Roman"/>
          <w:sz w:val="32"/>
          <w:szCs w:val="32"/>
          <w:lang w:eastAsia="zh-CN" w:bidi="ar"/>
        </w:rPr>
        <w:t>实际支付的利息。</w:t>
      </w:r>
    </w:p>
    <w:p>
      <w:pPr>
        <w:keepNext w:val="0"/>
        <w:keepLines w:val="0"/>
        <w:pageBreakBefore w:val="0"/>
        <w:widowControl/>
        <w:kinsoku/>
        <w:wordWrap/>
        <w:overflowPunct/>
        <w:topLinePunct w:val="0"/>
        <w:autoSpaceDE w:val="0"/>
        <w:autoSpaceDN/>
        <w:bidi w:val="0"/>
        <w:snapToGrid/>
        <w:spacing w:line="560" w:lineRule="exact"/>
        <w:ind w:firstLine="640" w:firstLineChars="200"/>
        <w:jc w:val="left"/>
        <w:textAlignment w:val="auto"/>
        <w:rPr>
          <w:rFonts w:hint="eastAsia" w:ascii="仿宋_GB2312" w:eastAsia="仿宋_GB2312"/>
          <w:sz w:val="32"/>
          <w:szCs w:val="32"/>
        </w:rPr>
      </w:pPr>
      <w:r>
        <w:rPr>
          <w:rFonts w:hint="eastAsia" w:eastAsia="仿宋_GB2312"/>
          <w:sz w:val="32"/>
          <w:szCs w:val="32"/>
        </w:rPr>
        <w:t>（6）</w:t>
      </w:r>
      <w:r>
        <w:rPr>
          <w:rFonts w:hint="eastAsia" w:ascii="仿宋_GB2312" w:eastAsia="仿宋_GB2312"/>
          <w:sz w:val="32"/>
          <w:szCs w:val="32"/>
        </w:rPr>
        <w:t>项目未获得过省级技术改造资金以外的省工业和信息化领域财政资金支持。</w:t>
      </w:r>
    </w:p>
    <w:p>
      <w:pPr>
        <w:keepNext w:val="0"/>
        <w:keepLines w:val="0"/>
        <w:pageBreakBefore w:val="0"/>
        <w:widowControl/>
        <w:kinsoku/>
        <w:wordWrap/>
        <w:overflowPunct/>
        <w:topLinePunct w:val="0"/>
        <w:autoSpaceDE w:val="0"/>
        <w:autoSpaceDN/>
        <w:bidi w:val="0"/>
        <w:snapToGrid/>
        <w:spacing w:line="560" w:lineRule="exact"/>
        <w:ind w:firstLine="640" w:firstLineChars="200"/>
        <w:jc w:val="left"/>
        <w:textAlignment w:val="auto"/>
        <w:rPr>
          <w:rFonts w:eastAsia="仿宋_GB2312"/>
          <w:sz w:val="32"/>
          <w:szCs w:val="32"/>
        </w:rPr>
      </w:pPr>
      <w:r>
        <w:rPr>
          <w:rFonts w:hint="eastAsia" w:eastAsia="仿宋_GB2312"/>
          <w:sz w:val="32"/>
          <w:szCs w:val="32"/>
        </w:rPr>
        <w:t>（7）</w:t>
      </w:r>
      <w:r>
        <w:rPr>
          <w:rFonts w:hint="eastAsia" w:ascii="仿宋_GB2312" w:eastAsia="仿宋_GB2312"/>
          <w:sz w:val="32"/>
          <w:szCs w:val="32"/>
        </w:rPr>
        <w:t>项目投资按规定纳入技术改造投资统计。</w:t>
      </w:r>
    </w:p>
    <w:p>
      <w:pPr>
        <w:keepNext w:val="0"/>
        <w:keepLines w:val="0"/>
        <w:pageBreakBefore w:val="0"/>
        <w:numPr>
          <w:ilvl w:val="0"/>
          <w:numId w:val="0"/>
        </w:numPr>
        <w:kinsoku/>
        <w:wordWrap/>
        <w:overflowPunct/>
        <w:topLinePunct w:val="0"/>
        <w:autoSpaceDN/>
        <w:bidi w:val="0"/>
        <w:snapToGrid/>
        <w:spacing w:line="560" w:lineRule="exact"/>
        <w:ind w:firstLine="642" w:firstLineChars="200"/>
        <w:textAlignment w:val="auto"/>
        <w:rPr>
          <w:rFonts w:hint="eastAsia"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lang w:eastAsia="zh-CN"/>
        </w:rPr>
        <w:t>（二）</w:t>
      </w:r>
      <w:r>
        <w:rPr>
          <w:rFonts w:hint="eastAsia" w:ascii="仿宋_GB2312" w:hAnsi="仿宋_GB2312" w:eastAsia="仿宋_GB2312" w:cs="仿宋_GB2312"/>
          <w:b/>
          <w:bCs/>
          <w:sz w:val="32"/>
          <w:szCs w:val="32"/>
        </w:rPr>
        <w:t>保险增信补贴方式</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cs="仿宋_GB2312"/>
          <w:dstrike/>
          <w:sz w:val="32"/>
          <w:szCs w:val="32"/>
        </w:rPr>
      </w:pPr>
      <w:r>
        <w:rPr>
          <w:rFonts w:hint="eastAsia" w:ascii="楷体_GB2312" w:eastAsia="楷体_GB2312"/>
          <w:sz w:val="32"/>
          <w:szCs w:val="32"/>
        </w:rPr>
        <w:t>1.支持内容</w:t>
      </w:r>
    </w:p>
    <w:p>
      <w:pPr>
        <w:pStyle w:val="17"/>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cs="仿宋_GB2312"/>
          <w:sz w:val="32"/>
          <w:szCs w:val="32"/>
        </w:rPr>
      </w:pPr>
      <w:r>
        <w:rPr>
          <w:rFonts w:hint="eastAsia" w:ascii="仿宋_GB2312" w:eastAsia="仿宋_GB2312"/>
          <w:sz w:val="32"/>
          <w:szCs w:val="32"/>
        </w:rPr>
        <w:t>支持工业企业开展保险增信贷款融资，</w:t>
      </w:r>
      <w:r>
        <w:rPr>
          <w:rFonts w:hint="eastAsia" w:ascii="仿宋_GB2312" w:eastAsia="仿宋_GB2312"/>
          <w:kern w:val="2"/>
          <w:sz w:val="32"/>
          <w:szCs w:val="32"/>
        </w:rPr>
        <w:t>降低企业融资成本，</w:t>
      </w:r>
      <w:r>
        <w:rPr>
          <w:rFonts w:ascii="仿宋_GB2312" w:eastAsia="仿宋_GB2312"/>
          <w:sz w:val="32"/>
          <w:szCs w:val="32"/>
        </w:rPr>
        <w:t>对技术改造项目使用保险作为增信工具融资的工业企业</w:t>
      </w:r>
      <w:r>
        <w:rPr>
          <w:rFonts w:hint="eastAsia" w:ascii="仿宋_GB2312" w:eastAsia="仿宋_GB2312"/>
          <w:sz w:val="32"/>
          <w:szCs w:val="32"/>
        </w:rPr>
        <w:t>给予支持</w:t>
      </w:r>
      <w:r>
        <w:rPr>
          <w:rFonts w:hint="eastAsia" w:ascii="仿宋_GB2312" w:eastAsia="仿宋_GB2312"/>
          <w:kern w:val="2"/>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楷体_GB2312"/>
          <w:sz w:val="32"/>
          <w:szCs w:val="32"/>
        </w:rPr>
      </w:pPr>
      <w:r>
        <w:rPr>
          <w:rFonts w:hint="eastAsia" w:ascii="楷体_GB2312" w:eastAsia="楷体_GB2312"/>
          <w:sz w:val="32"/>
          <w:szCs w:val="32"/>
        </w:rPr>
        <w:t>2.支持方式及标准</w:t>
      </w:r>
    </w:p>
    <w:p>
      <w:pPr>
        <w:keepNext w:val="0"/>
        <w:keepLines w:val="0"/>
        <w:pageBreakBefore w:val="0"/>
        <w:widowControl/>
        <w:kinsoku/>
        <w:wordWrap/>
        <w:overflowPunct/>
        <w:topLinePunct w:val="0"/>
        <w:autoSpaceDN/>
        <w:bidi w:val="0"/>
        <w:snapToGrid/>
        <w:spacing w:line="560" w:lineRule="exact"/>
        <w:ind w:firstLine="640" w:firstLineChars="200"/>
        <w:jc w:val="left"/>
        <w:textAlignment w:val="auto"/>
        <w:rPr>
          <w:rFonts w:eastAsia="仿宋_GB2312"/>
          <w:kern w:val="0"/>
          <w:sz w:val="32"/>
          <w:szCs w:val="32"/>
        </w:rPr>
      </w:pPr>
      <w:r>
        <w:rPr>
          <w:rFonts w:hint="eastAsia" w:ascii="仿宋_GB2312" w:eastAsia="仿宋_GB2312"/>
          <w:kern w:val="0"/>
          <w:sz w:val="32"/>
          <w:szCs w:val="32"/>
        </w:rPr>
        <w:t>保险增信补贴采取事后补贴方式，对符合条件的技术改造完工项目，按其完工日前</w:t>
      </w:r>
      <w:r>
        <w:rPr>
          <w:rFonts w:hint="eastAsia" w:eastAsia="仿宋_GB2312"/>
          <w:kern w:val="0"/>
          <w:sz w:val="32"/>
          <w:szCs w:val="32"/>
        </w:rPr>
        <w:t>5</w:t>
      </w:r>
      <w:r>
        <w:rPr>
          <w:rFonts w:hint="eastAsia" w:ascii="仿宋_GB2312" w:eastAsia="仿宋_GB2312"/>
          <w:kern w:val="0"/>
          <w:sz w:val="32"/>
          <w:szCs w:val="32"/>
        </w:rPr>
        <w:t>年（含完工日当年度）中的任一年度已支付保险费用的不超过</w:t>
      </w:r>
      <w:r>
        <w:rPr>
          <w:rFonts w:hint="eastAsia" w:eastAsia="仿宋_GB2312"/>
          <w:kern w:val="0"/>
          <w:sz w:val="32"/>
          <w:szCs w:val="32"/>
        </w:rPr>
        <w:t>50%</w:t>
      </w:r>
      <w:r>
        <w:rPr>
          <w:rFonts w:hint="eastAsia" w:ascii="仿宋_GB2312" w:eastAsia="仿宋_GB2312"/>
          <w:kern w:val="0"/>
          <w:sz w:val="32"/>
          <w:szCs w:val="32"/>
        </w:rPr>
        <w:t>比例给予补贴（具体比例结合当年预算额度及入库项目情况确定），单个企业每年最高补贴</w:t>
      </w:r>
      <w:r>
        <w:rPr>
          <w:rFonts w:hint="eastAsia" w:eastAsia="仿宋_GB2312"/>
          <w:kern w:val="0"/>
          <w:sz w:val="32"/>
          <w:szCs w:val="32"/>
        </w:rPr>
        <w:t>40</w:t>
      </w:r>
      <w:r>
        <w:rPr>
          <w:rFonts w:hint="eastAsia" w:ascii="仿宋_GB2312" w:eastAsia="仿宋_GB2312"/>
          <w:kern w:val="0"/>
          <w:sz w:val="32"/>
          <w:szCs w:val="32"/>
        </w:rPr>
        <w:t>万元，同一笔保险增信贷款只能享受一次补贴政策。</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楷体_GB2312"/>
          <w:sz w:val="32"/>
          <w:szCs w:val="32"/>
        </w:rPr>
      </w:pPr>
      <w:r>
        <w:rPr>
          <w:rFonts w:hint="eastAsia" w:ascii="楷体_GB2312" w:eastAsia="楷体_GB2312"/>
          <w:sz w:val="32"/>
          <w:szCs w:val="32"/>
        </w:rPr>
        <w:t>3.入库要求</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（1）</w:t>
      </w:r>
      <w:r>
        <w:rPr>
          <w:rFonts w:ascii="仿宋_GB2312" w:eastAsia="仿宋_GB2312"/>
          <w:sz w:val="32"/>
          <w:szCs w:val="32"/>
        </w:rPr>
        <w:t>项目在广东省内实施，项目承担单位为</w:t>
      </w:r>
      <w:r>
        <w:rPr>
          <w:rFonts w:hint="eastAsia" w:ascii="仿宋_GB2312" w:eastAsia="仿宋_GB2312"/>
          <w:sz w:val="32"/>
          <w:szCs w:val="32"/>
        </w:rPr>
        <w:t>依法</w:t>
      </w:r>
      <w:r>
        <w:rPr>
          <w:rFonts w:ascii="仿宋_GB2312" w:eastAsia="仿宋_GB2312"/>
          <w:sz w:val="32"/>
          <w:szCs w:val="32"/>
        </w:rPr>
        <w:t>登记注册且在广东生产经营、具有独立法人资格，诚信经营、依法纳税的工业企业</w:t>
      </w:r>
      <w:r>
        <w:rPr>
          <w:rFonts w:hint="eastAsia" w:ascii="仿宋_GB2312" w:eastAsia="仿宋_GB2312"/>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（2）</w:t>
      </w:r>
      <w:r>
        <w:rPr>
          <w:rFonts w:ascii="仿宋_GB2312" w:eastAsia="仿宋_GB2312"/>
          <w:sz w:val="32"/>
          <w:szCs w:val="32"/>
        </w:rPr>
        <w:t>项目应符合国家</w:t>
      </w:r>
      <w:r>
        <w:rPr>
          <w:rFonts w:hint="eastAsia" w:ascii="仿宋_GB2312" w:eastAsia="仿宋_GB2312"/>
          <w:sz w:val="32"/>
          <w:szCs w:val="32"/>
        </w:rPr>
        <w:t>、</w:t>
      </w:r>
      <w:r>
        <w:rPr>
          <w:rFonts w:ascii="仿宋_GB2312" w:eastAsia="仿宋_GB2312"/>
          <w:sz w:val="32"/>
          <w:szCs w:val="32"/>
        </w:rPr>
        <w:t>省产业政策</w:t>
      </w:r>
      <w:r>
        <w:rPr>
          <w:rFonts w:hint="eastAsia" w:ascii="仿宋_GB2312" w:eastAsia="仿宋_GB2312"/>
          <w:sz w:val="32"/>
          <w:szCs w:val="32"/>
        </w:rPr>
        <w:t>和项目所在地地级以上市重点产业发展方向。</w:t>
      </w:r>
      <w:r>
        <w:rPr>
          <w:rFonts w:ascii="仿宋_GB2312" w:eastAsia="仿宋_GB2312"/>
          <w:sz w:val="32"/>
          <w:szCs w:val="32"/>
        </w:rPr>
        <w:t>具备在工业和信息化主管部门备案、核准或审批等文件</w:t>
      </w:r>
      <w:r>
        <w:rPr>
          <w:rFonts w:hint="eastAsia" w:ascii="仿宋_GB2312" w:eastAsia="仿宋_GB2312"/>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（3）</w:t>
      </w:r>
      <w:r>
        <w:rPr>
          <w:rFonts w:ascii="仿宋_GB2312" w:eastAsia="仿宋_GB2312"/>
          <w:sz w:val="32"/>
          <w:szCs w:val="32"/>
        </w:rPr>
        <w:t>项目承担单位通过保险增信方式从银行获得固定资产贷款，在补贴期内无不良信贷记录，贷款资金用于申报的技术改造项目建设。</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（4）</w:t>
      </w:r>
      <w:r>
        <w:rPr>
          <w:rFonts w:hint="eastAsia" w:ascii="仿宋_GB2312" w:eastAsia="仿宋_GB2312"/>
          <w:sz w:val="32"/>
          <w:szCs w:val="32"/>
        </w:rPr>
        <w:t>项目在</w:t>
      </w:r>
      <w:r>
        <w:rPr>
          <w:rFonts w:hint="eastAsia" w:eastAsia="仿宋_GB2312"/>
          <w:sz w:val="32"/>
          <w:szCs w:val="32"/>
        </w:rPr>
        <w:t>2023</w:t>
      </w:r>
      <w:r>
        <w:rPr>
          <w:rFonts w:hint="eastAsia" w:ascii="仿宋_GB2312" w:eastAsia="仿宋_GB2312"/>
          <w:sz w:val="32"/>
          <w:szCs w:val="32"/>
        </w:rPr>
        <w:t>年</w:t>
      </w:r>
      <w:r>
        <w:rPr>
          <w:rFonts w:hint="eastAsia" w:eastAsia="仿宋_GB2312"/>
          <w:sz w:val="32"/>
          <w:szCs w:val="32"/>
        </w:rPr>
        <w:t>1</w:t>
      </w:r>
      <w:r>
        <w:rPr>
          <w:rFonts w:hint="eastAsia" w:ascii="仿宋_GB2312" w:eastAsia="仿宋_GB2312"/>
          <w:sz w:val="32"/>
          <w:szCs w:val="32"/>
        </w:rPr>
        <w:t>月</w:t>
      </w:r>
      <w:r>
        <w:rPr>
          <w:rFonts w:hint="eastAsia" w:eastAsia="仿宋_GB2312"/>
          <w:sz w:val="32"/>
          <w:szCs w:val="32"/>
        </w:rPr>
        <w:t>1</w:t>
      </w:r>
      <w:r>
        <w:rPr>
          <w:rFonts w:hint="eastAsia" w:ascii="仿宋_GB2312" w:eastAsia="仿宋_GB2312"/>
          <w:sz w:val="32"/>
          <w:szCs w:val="32"/>
        </w:rPr>
        <w:t>日（含）至</w:t>
      </w:r>
      <w:r>
        <w:rPr>
          <w:rFonts w:hint="eastAsia" w:eastAsia="仿宋_GB2312"/>
          <w:sz w:val="32"/>
          <w:szCs w:val="32"/>
        </w:rPr>
        <w:t>2023</w:t>
      </w:r>
      <w:r>
        <w:rPr>
          <w:rFonts w:hint="eastAsia" w:ascii="仿宋_GB2312" w:eastAsia="仿宋_GB2312"/>
          <w:sz w:val="32"/>
          <w:szCs w:val="32"/>
        </w:rPr>
        <w:t>年</w:t>
      </w:r>
      <w:r>
        <w:rPr>
          <w:rFonts w:hint="eastAsia" w:eastAsia="仿宋_GB2312"/>
          <w:sz w:val="32"/>
          <w:szCs w:val="32"/>
        </w:rPr>
        <w:t>3</w:t>
      </w:r>
      <w:r>
        <w:rPr>
          <w:rFonts w:hint="eastAsia" w:ascii="仿宋_GB2312" w:eastAsia="仿宋_GB2312"/>
          <w:sz w:val="32"/>
          <w:szCs w:val="32"/>
        </w:rPr>
        <w:t>月</w:t>
      </w:r>
      <w:r>
        <w:rPr>
          <w:rFonts w:hint="eastAsia" w:eastAsia="仿宋_GB2312"/>
          <w:sz w:val="32"/>
          <w:szCs w:val="32"/>
        </w:rPr>
        <w:t>31</w:t>
      </w:r>
      <w:r>
        <w:rPr>
          <w:rFonts w:hint="eastAsia" w:ascii="仿宋_GB2312" w:eastAsia="仿宋_GB2312"/>
          <w:sz w:val="32"/>
          <w:szCs w:val="32"/>
        </w:rPr>
        <w:t>日（含）期间完工，保险费用应已完成支付（以保单、支付凭证等为准）。</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（5）</w:t>
      </w:r>
      <w:r>
        <w:rPr>
          <w:rFonts w:hint="eastAsia" w:ascii="仿宋_GB2312" w:eastAsia="仿宋_GB2312"/>
          <w:sz w:val="32"/>
          <w:szCs w:val="32"/>
        </w:rPr>
        <w:t>项目未获得过省级技术改造资金以外的省工业和信息化领域财政资金支持。</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楷体_GB2312"/>
          <w:sz w:val="32"/>
          <w:szCs w:val="32"/>
        </w:rPr>
      </w:pPr>
      <w:r>
        <w:rPr>
          <w:rFonts w:hint="eastAsia" w:eastAsia="仿宋_GB2312"/>
          <w:sz w:val="32"/>
          <w:szCs w:val="32"/>
        </w:rPr>
        <w:t>（6）</w:t>
      </w:r>
      <w:r>
        <w:rPr>
          <w:rFonts w:hint="eastAsia" w:ascii="仿宋_GB2312" w:eastAsia="仿宋_GB2312"/>
          <w:sz w:val="32"/>
          <w:szCs w:val="32"/>
        </w:rPr>
        <w:t>项目投资按规定纳入技术改造投资统计。</w:t>
      </w:r>
    </w:p>
    <w:p>
      <w:pPr>
        <w:keepNext w:val="0"/>
        <w:keepLines w:val="0"/>
        <w:pageBreakBefore w:val="0"/>
        <w:numPr>
          <w:ilvl w:val="0"/>
          <w:numId w:val="0"/>
        </w:numPr>
        <w:kinsoku/>
        <w:wordWrap/>
        <w:overflowPunct/>
        <w:topLinePunct w:val="0"/>
        <w:autoSpaceDN/>
        <w:bidi w:val="0"/>
        <w:snapToGrid/>
        <w:spacing w:line="560" w:lineRule="exact"/>
        <w:ind w:firstLine="642" w:firstLineChars="200"/>
        <w:textAlignment w:val="auto"/>
        <w:rPr>
          <w:rFonts w:hint="eastAsia" w:ascii="仿宋_GB2312" w:hAnsi="仿宋_GB2312" w:eastAsia="仿宋_GB2312" w:cs="仿宋_GB2312"/>
          <w:b/>
          <w:bCs/>
          <w:color w:val="FF0000"/>
          <w:sz w:val="32"/>
          <w:szCs w:val="32"/>
        </w:rPr>
      </w:pPr>
      <w:r>
        <w:rPr>
          <w:rFonts w:hint="eastAsia" w:ascii="仿宋_GB2312" w:hAnsi="仿宋_GB2312" w:eastAsia="仿宋_GB2312" w:cs="仿宋_GB2312"/>
          <w:b/>
          <w:bCs/>
          <w:sz w:val="32"/>
          <w:szCs w:val="32"/>
          <w:lang w:eastAsia="zh-CN"/>
        </w:rPr>
        <w:t>（三）</w:t>
      </w:r>
      <w:r>
        <w:rPr>
          <w:rFonts w:hint="eastAsia" w:ascii="仿宋_GB2312" w:hAnsi="仿宋_GB2312" w:eastAsia="仿宋_GB2312" w:cs="仿宋_GB2312"/>
          <w:b/>
          <w:bCs/>
          <w:sz w:val="32"/>
          <w:szCs w:val="32"/>
        </w:rPr>
        <w:t>融资租赁补贴方式</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cs="仿宋_GB2312"/>
          <w:dstrike/>
          <w:sz w:val="32"/>
          <w:szCs w:val="32"/>
        </w:rPr>
      </w:pPr>
      <w:r>
        <w:rPr>
          <w:rFonts w:hint="eastAsia" w:ascii="楷体_GB2312" w:eastAsia="楷体_GB2312"/>
          <w:sz w:val="32"/>
          <w:szCs w:val="32"/>
        </w:rPr>
        <w:t>1.支持内容</w:t>
      </w:r>
    </w:p>
    <w:p>
      <w:pPr>
        <w:pStyle w:val="17"/>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hint="eastAsia" w:ascii="仿宋_GB2312" w:eastAsia="仿宋_GB2312"/>
          <w:kern w:val="2"/>
          <w:sz w:val="32"/>
          <w:szCs w:val="32"/>
        </w:rPr>
        <w:t>引导和支持工业企业开展设备融资租赁，降低企业融资成本，</w:t>
      </w:r>
      <w:r>
        <w:rPr>
          <w:rFonts w:ascii="仿宋_GB2312" w:eastAsia="仿宋_GB2312"/>
          <w:sz w:val="32"/>
          <w:szCs w:val="32"/>
        </w:rPr>
        <w:t>对技术改造</w:t>
      </w:r>
      <w:r>
        <w:rPr>
          <w:rFonts w:hint="eastAsia" w:ascii="仿宋_GB2312" w:eastAsia="仿宋_GB2312"/>
          <w:sz w:val="32"/>
          <w:szCs w:val="32"/>
        </w:rPr>
        <w:t>项目采用</w:t>
      </w:r>
      <w:r>
        <w:rPr>
          <w:rFonts w:ascii="仿宋_GB2312" w:eastAsia="仿宋_GB2312"/>
          <w:sz w:val="32"/>
          <w:szCs w:val="32"/>
        </w:rPr>
        <w:t>直接融资租赁设备</w:t>
      </w:r>
      <w:r>
        <w:rPr>
          <w:rFonts w:hint="eastAsia" w:ascii="仿宋_GB2312" w:eastAsia="仿宋_GB2312"/>
          <w:sz w:val="32"/>
          <w:szCs w:val="32"/>
        </w:rPr>
        <w:t>的</w:t>
      </w:r>
      <w:r>
        <w:rPr>
          <w:rFonts w:ascii="仿宋_GB2312" w:eastAsia="仿宋_GB2312"/>
          <w:sz w:val="32"/>
          <w:szCs w:val="32"/>
        </w:rPr>
        <w:t>工业企业给予支持</w:t>
      </w:r>
      <w:r>
        <w:rPr>
          <w:rFonts w:hint="eastAsia" w:ascii="仿宋_GB2312" w:eastAsia="仿宋_GB2312"/>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楷体_GB2312"/>
          <w:sz w:val="32"/>
          <w:szCs w:val="32"/>
        </w:rPr>
      </w:pPr>
      <w:r>
        <w:rPr>
          <w:rFonts w:hint="eastAsia" w:ascii="楷体_GB2312" w:eastAsia="楷体_GB2312"/>
          <w:sz w:val="32"/>
          <w:szCs w:val="32"/>
        </w:rPr>
        <w:t>2.支持方式及标准</w:t>
      </w:r>
    </w:p>
    <w:p>
      <w:pPr>
        <w:keepNext w:val="0"/>
        <w:keepLines w:val="0"/>
        <w:pageBreakBefore w:val="0"/>
        <w:widowControl/>
        <w:kinsoku/>
        <w:wordWrap/>
        <w:overflowPunct/>
        <w:topLinePunct w:val="0"/>
        <w:autoSpaceDN/>
        <w:bidi w:val="0"/>
        <w:snapToGrid/>
        <w:spacing w:line="560" w:lineRule="exact"/>
        <w:ind w:firstLine="640" w:firstLineChars="200"/>
        <w:jc w:val="left"/>
        <w:textAlignment w:val="auto"/>
        <w:rPr>
          <w:rFonts w:eastAsia="仿宋_GB2312"/>
          <w:sz w:val="32"/>
          <w:szCs w:val="32"/>
        </w:rPr>
      </w:pPr>
      <w:r>
        <w:rPr>
          <w:rFonts w:hint="eastAsia" w:ascii="仿宋_GB2312" w:eastAsia="仿宋_GB2312"/>
          <w:sz w:val="32"/>
          <w:szCs w:val="32"/>
        </w:rPr>
        <w:t>融资租赁补贴采取事后补贴方式，对符合条件的技术改造完工项目，按设备融资租赁合同额不超过合同签订时的银行同期（五年期以上）贷款市场报价利率（</w:t>
      </w:r>
      <w:r>
        <w:rPr>
          <w:rFonts w:hint="eastAsia" w:eastAsia="仿宋_GB2312"/>
          <w:sz w:val="32"/>
          <w:szCs w:val="32"/>
        </w:rPr>
        <w:t>LPR</w:t>
      </w:r>
      <w:r>
        <w:rPr>
          <w:rFonts w:hint="eastAsia" w:ascii="仿宋_GB2312" w:eastAsia="仿宋_GB2312"/>
          <w:sz w:val="32"/>
          <w:szCs w:val="32"/>
        </w:rPr>
        <w:t>）的</w:t>
      </w:r>
      <w:r>
        <w:rPr>
          <w:rFonts w:hint="eastAsia" w:eastAsia="仿宋_GB2312"/>
          <w:sz w:val="32"/>
          <w:szCs w:val="32"/>
        </w:rPr>
        <w:t>15%</w:t>
      </w:r>
      <w:r>
        <w:rPr>
          <w:rFonts w:hint="eastAsia" w:ascii="仿宋_GB2312" w:eastAsia="仿宋_GB2312"/>
          <w:sz w:val="32"/>
          <w:szCs w:val="32"/>
        </w:rPr>
        <w:t>给予一次性补贴（具体比例结合当年预算额度及入库项目情况确定）。单个项目补贴期最高不超过</w:t>
      </w:r>
      <w:r>
        <w:rPr>
          <w:rFonts w:hint="eastAsia" w:eastAsia="仿宋_GB2312"/>
          <w:sz w:val="32"/>
          <w:szCs w:val="32"/>
        </w:rPr>
        <w:t>3</w:t>
      </w:r>
      <w:r>
        <w:rPr>
          <w:rFonts w:hint="eastAsia" w:ascii="仿宋_GB2312" w:eastAsia="仿宋_GB2312"/>
          <w:sz w:val="32"/>
          <w:szCs w:val="32"/>
        </w:rPr>
        <w:t>年，不足</w:t>
      </w:r>
      <w:r>
        <w:rPr>
          <w:rFonts w:hint="eastAsia" w:eastAsia="仿宋_GB2312"/>
          <w:sz w:val="32"/>
          <w:szCs w:val="32"/>
        </w:rPr>
        <w:t>1</w:t>
      </w:r>
      <w:r>
        <w:rPr>
          <w:rFonts w:hint="eastAsia" w:ascii="仿宋_GB2312" w:eastAsia="仿宋_GB2312"/>
          <w:sz w:val="32"/>
          <w:szCs w:val="32"/>
        </w:rPr>
        <w:t>年的部分按实际月数核算，单个企业单个自然年补贴额最高</w:t>
      </w:r>
      <w:r>
        <w:rPr>
          <w:rFonts w:hint="eastAsia" w:eastAsia="仿宋_GB2312"/>
          <w:sz w:val="32"/>
          <w:szCs w:val="32"/>
        </w:rPr>
        <w:t>200</w:t>
      </w:r>
      <w:r>
        <w:rPr>
          <w:rFonts w:hint="eastAsia" w:ascii="仿宋_GB2312" w:eastAsia="仿宋_GB2312"/>
          <w:sz w:val="32"/>
          <w:szCs w:val="32"/>
        </w:rPr>
        <w:t>万元。同一设备融资租赁合同只能享受一次补贴政策。</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楷体_GB2312"/>
          <w:sz w:val="32"/>
          <w:szCs w:val="32"/>
        </w:rPr>
      </w:pPr>
      <w:r>
        <w:rPr>
          <w:rFonts w:hint="eastAsia" w:ascii="楷体_GB2312" w:eastAsia="楷体_GB2312"/>
          <w:sz w:val="32"/>
          <w:szCs w:val="32"/>
        </w:rPr>
        <w:t>3.入库要求</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（1）</w:t>
      </w:r>
      <w:r>
        <w:rPr>
          <w:rFonts w:ascii="仿宋_GB2312" w:eastAsia="仿宋_GB2312"/>
          <w:sz w:val="32"/>
          <w:szCs w:val="32"/>
        </w:rPr>
        <w:t>项目在广东省内实施，项目承担单位为</w:t>
      </w:r>
      <w:r>
        <w:rPr>
          <w:rFonts w:hint="eastAsia" w:ascii="仿宋_GB2312" w:eastAsia="仿宋_GB2312"/>
          <w:sz w:val="32"/>
          <w:szCs w:val="32"/>
        </w:rPr>
        <w:t>依法</w:t>
      </w:r>
      <w:r>
        <w:rPr>
          <w:rFonts w:ascii="仿宋_GB2312" w:eastAsia="仿宋_GB2312"/>
          <w:sz w:val="32"/>
          <w:szCs w:val="32"/>
        </w:rPr>
        <w:t>登记注册且在广东生产经营、具有独立法人资格，诚信经营、依法纳税的工业企业</w:t>
      </w:r>
      <w:r>
        <w:rPr>
          <w:rFonts w:hint="eastAsia" w:ascii="仿宋_GB2312" w:eastAsia="仿宋_GB2312"/>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（2）</w:t>
      </w:r>
      <w:r>
        <w:rPr>
          <w:rFonts w:ascii="仿宋_GB2312" w:eastAsia="仿宋_GB2312"/>
          <w:sz w:val="32"/>
          <w:szCs w:val="32"/>
        </w:rPr>
        <w:t>企业技术改造项目应符合国家</w:t>
      </w:r>
      <w:r>
        <w:rPr>
          <w:rFonts w:hint="eastAsia" w:ascii="仿宋_GB2312" w:eastAsia="仿宋_GB2312"/>
          <w:sz w:val="32"/>
          <w:szCs w:val="32"/>
        </w:rPr>
        <w:t>、</w:t>
      </w:r>
      <w:r>
        <w:rPr>
          <w:rFonts w:ascii="仿宋_GB2312" w:eastAsia="仿宋_GB2312"/>
          <w:sz w:val="32"/>
          <w:szCs w:val="32"/>
        </w:rPr>
        <w:t>省产业政策</w:t>
      </w:r>
      <w:r>
        <w:rPr>
          <w:rFonts w:hint="eastAsia" w:ascii="仿宋_GB2312" w:eastAsia="仿宋_GB2312"/>
          <w:sz w:val="32"/>
          <w:szCs w:val="32"/>
        </w:rPr>
        <w:t>和项目所在地地级以上市重点产业发展方向。</w:t>
      </w:r>
      <w:r>
        <w:rPr>
          <w:rFonts w:ascii="仿宋_GB2312" w:eastAsia="仿宋_GB2312"/>
          <w:sz w:val="32"/>
          <w:szCs w:val="32"/>
        </w:rPr>
        <w:t>具备在工业和信息化主管部门备案、核准或审批等文件</w:t>
      </w:r>
      <w:r>
        <w:rPr>
          <w:rFonts w:hint="eastAsia" w:ascii="仿宋_GB2312" w:eastAsia="仿宋_GB2312"/>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（3）</w:t>
      </w:r>
      <w:r>
        <w:rPr>
          <w:rFonts w:ascii="仿宋_GB2312" w:eastAsia="仿宋_GB2312"/>
          <w:sz w:val="32"/>
          <w:szCs w:val="32"/>
        </w:rPr>
        <w:t>项目承担单位通过直接融资租赁方式购入生产及生产配套设备（不含家具电器、办公耗材、车辆、非专用电脑等日常办公设备），设备应用于申报的技术改造项目。</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（4）</w:t>
      </w:r>
      <w:r>
        <w:rPr>
          <w:rFonts w:ascii="仿宋_GB2312" w:eastAsia="仿宋_GB2312"/>
          <w:sz w:val="32"/>
          <w:szCs w:val="32"/>
        </w:rPr>
        <w:t>项目承担单位在规定时间内签订设备融资租赁合同，在补贴期内无不良信贷记录，单个项目设备融资租赁</w:t>
      </w:r>
      <w:r>
        <w:rPr>
          <w:rFonts w:hint="eastAsia" w:ascii="仿宋_GB2312" w:eastAsia="仿宋_GB2312"/>
          <w:sz w:val="32"/>
          <w:szCs w:val="32"/>
        </w:rPr>
        <w:t>单个</w:t>
      </w:r>
      <w:r>
        <w:rPr>
          <w:rFonts w:ascii="仿宋_GB2312" w:eastAsia="仿宋_GB2312"/>
          <w:sz w:val="32"/>
          <w:szCs w:val="32"/>
        </w:rPr>
        <w:t>合同额不低于</w:t>
      </w:r>
      <w:r>
        <w:rPr>
          <w:rFonts w:eastAsia="仿宋_GB2312"/>
          <w:sz w:val="32"/>
          <w:szCs w:val="32"/>
        </w:rPr>
        <w:t>500</w:t>
      </w:r>
      <w:r>
        <w:rPr>
          <w:rFonts w:ascii="仿宋_GB2312" w:eastAsia="仿宋_GB2312"/>
          <w:sz w:val="32"/>
          <w:szCs w:val="32"/>
        </w:rPr>
        <w:t>万元。</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（5）</w:t>
      </w:r>
      <w:r>
        <w:rPr>
          <w:rFonts w:hint="eastAsia" w:ascii="仿宋_GB2312" w:eastAsia="仿宋_GB2312"/>
          <w:sz w:val="32"/>
          <w:szCs w:val="32"/>
        </w:rPr>
        <w:t>项目在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w:t>
      </w:r>
      <w:r>
        <w:rPr>
          <w:rFonts w:hint="eastAsia" w:ascii="仿宋_GB2312" w:eastAsia="仿宋_GB2312"/>
          <w:sz w:val="32"/>
          <w:szCs w:val="32"/>
        </w:rPr>
        <w:t>期间完工，且完工日期在项目备案证建设期内。备案证发生变更的，企业提交变更时间不超过前备案证明确的完工日期。</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（6）</w:t>
      </w:r>
      <w:r>
        <w:rPr>
          <w:rFonts w:hint="eastAsia" w:ascii="仿宋_GB2312" w:eastAsia="仿宋_GB2312"/>
          <w:sz w:val="32"/>
          <w:szCs w:val="32"/>
        </w:rPr>
        <w:t>项目融资租赁补贴期以完工日期往前核算，最长不超过</w:t>
      </w:r>
      <w:r>
        <w:rPr>
          <w:rFonts w:hint="eastAsia" w:eastAsia="仿宋_GB2312"/>
          <w:sz w:val="32"/>
          <w:szCs w:val="32"/>
        </w:rPr>
        <w:t>3</w:t>
      </w:r>
      <w:r>
        <w:rPr>
          <w:rFonts w:hint="eastAsia" w:ascii="仿宋_GB2312" w:eastAsia="仿宋_GB2312"/>
          <w:sz w:val="32"/>
          <w:szCs w:val="32"/>
        </w:rPr>
        <w:t>年。</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eastAsia="仿宋_GB2312"/>
          <w:sz w:val="32"/>
          <w:szCs w:val="32"/>
        </w:rPr>
        <w:t>（7）</w:t>
      </w:r>
      <w:r>
        <w:rPr>
          <w:rFonts w:ascii="仿宋_GB2312" w:eastAsia="仿宋_GB2312"/>
          <w:sz w:val="32"/>
          <w:szCs w:val="32"/>
        </w:rPr>
        <w:t>项目未获得过省级技术改造资金以外的省工业和信息化领域财政资金支持。</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楷体_GB2312"/>
          <w:sz w:val="32"/>
          <w:szCs w:val="32"/>
        </w:rPr>
      </w:pPr>
      <w:r>
        <w:rPr>
          <w:rFonts w:hint="eastAsia" w:eastAsia="仿宋_GB2312"/>
          <w:sz w:val="32"/>
          <w:szCs w:val="32"/>
        </w:rPr>
        <w:t>（8）</w:t>
      </w:r>
      <w:r>
        <w:rPr>
          <w:rFonts w:hint="eastAsia" w:ascii="仿宋_GB2312" w:eastAsia="仿宋_GB2312"/>
          <w:sz w:val="32"/>
          <w:szCs w:val="32"/>
        </w:rPr>
        <w:t>项目投资按规定纳入技术改造投资统计。</w:t>
      </w:r>
    </w:p>
    <w:p>
      <w:pPr>
        <w:keepNext w:val="0"/>
        <w:keepLines w:val="0"/>
        <w:pageBreakBefore w:val="0"/>
        <w:widowControl/>
        <w:kinsoku/>
        <w:wordWrap/>
        <w:overflowPunct/>
        <w:topLinePunct w:val="0"/>
        <w:autoSpaceDN/>
        <w:bidi w:val="0"/>
        <w:snapToGrid/>
        <w:spacing w:line="560" w:lineRule="exact"/>
        <w:ind w:left="1598" w:leftChars="304" w:hanging="960" w:hangingChars="300"/>
        <w:jc w:val="left"/>
        <w:textAlignment w:val="auto"/>
        <w:rPr>
          <w:rFonts w:ascii="仿宋_GB2312" w:hAnsi="仿宋_GB2312" w:eastAsia="仿宋_GB2312" w:cs="仿宋_GB2312"/>
          <w:color w:val="auto"/>
          <w:sz w:val="32"/>
          <w:szCs w:val="32"/>
          <w:lang w:val="zh-CN"/>
        </w:rPr>
      </w:pPr>
      <w:r>
        <w:rPr>
          <w:rFonts w:hint="eastAsia" w:ascii="黑体" w:hAnsi="黑体" w:eastAsia="黑体" w:cs="黑体"/>
          <w:color w:val="auto"/>
          <w:sz w:val="32"/>
          <w:szCs w:val="32"/>
          <w:lang w:val="zh-CN"/>
        </w:rPr>
        <w:t>二、申请材料要求</w:t>
      </w:r>
    </w:p>
    <w:p>
      <w:pPr>
        <w:keepNext w:val="0"/>
        <w:keepLines w:val="0"/>
        <w:pageBreakBefore w:val="0"/>
        <w:widowControl/>
        <w:kinsoku/>
        <w:wordWrap/>
        <w:overflowPunct/>
        <w:topLinePunct w:val="0"/>
        <w:autoSpaceDN/>
        <w:bidi w:val="0"/>
        <w:adjustRightInd w:val="0"/>
        <w:snapToGrid/>
        <w:spacing w:line="560" w:lineRule="exact"/>
        <w:ind w:firstLine="640" w:firstLineChars="200"/>
        <w:textAlignment w:val="auto"/>
        <w:rPr>
          <w:rFonts w:eastAsia="仿宋_GB2312" w:cs="仿宋_GB2312"/>
          <w:sz w:val="32"/>
          <w:szCs w:val="32"/>
        </w:rPr>
      </w:pPr>
      <w:r>
        <w:rPr>
          <w:rFonts w:hint="eastAsia" w:eastAsia="仿宋_GB2312" w:cs="仿宋_GB2312"/>
          <w:sz w:val="32"/>
          <w:szCs w:val="32"/>
        </w:rPr>
        <w:t>入库申请材料包括但不限于以下内容：</w:t>
      </w:r>
    </w:p>
    <w:p>
      <w:pPr>
        <w:keepNext w:val="0"/>
        <w:keepLines w:val="0"/>
        <w:pageBreakBefore w:val="0"/>
        <w:kinsoku/>
        <w:wordWrap/>
        <w:overflowPunct/>
        <w:topLinePunct w:val="0"/>
        <w:autoSpaceDN/>
        <w:bidi w:val="0"/>
        <w:snapToGrid/>
        <w:spacing w:line="560" w:lineRule="exact"/>
        <w:ind w:firstLine="642" w:firstLineChars="200"/>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（一）封面目录</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color w:val="000000"/>
          <w:kern w:val="0"/>
          <w:sz w:val="32"/>
          <w:szCs w:val="32"/>
        </w:rPr>
      </w:pPr>
      <w:r>
        <w:rPr>
          <w:rFonts w:hint="eastAsia" w:ascii="仿宋_GB2312" w:eastAsia="仿宋_GB2312"/>
          <w:color w:val="000000"/>
          <w:kern w:val="0"/>
          <w:sz w:val="32"/>
          <w:szCs w:val="32"/>
        </w:rPr>
        <w:t>封面统一标明为“</w:t>
      </w:r>
      <w:r>
        <w:rPr>
          <w:rFonts w:eastAsia="仿宋_GB2312"/>
          <w:sz w:val="32"/>
          <w:szCs w:val="32"/>
        </w:rPr>
        <w:t>202</w:t>
      </w:r>
      <w:r>
        <w:rPr>
          <w:rFonts w:hint="eastAsia" w:eastAsia="仿宋_GB2312"/>
          <w:sz w:val="32"/>
          <w:szCs w:val="32"/>
        </w:rPr>
        <w:t>4</w:t>
      </w:r>
      <w:r>
        <w:rPr>
          <w:rFonts w:ascii="仿宋_GB2312" w:eastAsia="仿宋_GB2312"/>
          <w:sz w:val="32"/>
          <w:szCs w:val="32"/>
        </w:rPr>
        <w:t>年</w:t>
      </w:r>
      <w:r>
        <w:rPr>
          <w:rFonts w:hint="eastAsia" w:ascii="仿宋_GB2312" w:eastAsia="仿宋_GB2312"/>
          <w:sz w:val="32"/>
          <w:szCs w:val="32"/>
        </w:rPr>
        <w:t>广东省制造业当家重点任务保障专项企业技术改造资金（技改金融政策）</w:t>
      </w:r>
      <w:r>
        <w:rPr>
          <w:rFonts w:hint="eastAsia" w:ascii="仿宋_GB2312" w:eastAsia="仿宋_GB2312"/>
          <w:color w:val="000000"/>
          <w:kern w:val="0"/>
          <w:sz w:val="32"/>
          <w:szCs w:val="32"/>
        </w:rPr>
        <w:t>项目库申请报告”，标明申报单位、申报日期和支持方式，目录应列明所提交的各种文件材料及页码。</w:t>
      </w:r>
    </w:p>
    <w:p>
      <w:pPr>
        <w:keepNext w:val="0"/>
        <w:keepLines w:val="0"/>
        <w:pageBreakBefore w:val="0"/>
        <w:kinsoku/>
        <w:wordWrap/>
        <w:overflowPunct/>
        <w:topLinePunct w:val="0"/>
        <w:autoSpaceDN/>
        <w:bidi w:val="0"/>
        <w:snapToGrid/>
        <w:spacing w:line="560" w:lineRule="exact"/>
        <w:ind w:firstLine="642" w:firstLineChars="200"/>
        <w:textAlignment w:val="auto"/>
        <w:rPr>
          <w:rFonts w:eastAsia="仿宋_GB2312"/>
          <w:color w:val="000000"/>
          <w:kern w:val="0"/>
          <w:sz w:val="32"/>
          <w:szCs w:val="32"/>
        </w:rPr>
      </w:pPr>
      <w:r>
        <w:rPr>
          <w:rFonts w:hint="eastAsia" w:ascii="仿宋_GB2312" w:hAnsi="仿宋_GB2312" w:eastAsia="仿宋_GB2312" w:cs="仿宋_GB2312"/>
          <w:b/>
          <w:bCs/>
          <w:color w:val="000000"/>
          <w:kern w:val="0"/>
          <w:sz w:val="32"/>
          <w:szCs w:val="32"/>
        </w:rPr>
        <w:t>（二）</w:t>
      </w:r>
      <w:r>
        <w:rPr>
          <w:rFonts w:hint="eastAsia" w:ascii="仿宋_GB2312" w:hAnsi="仿宋_GB2312" w:eastAsia="仿宋_GB2312" w:cs="仿宋_GB2312"/>
          <w:b/>
          <w:bCs/>
          <w:sz w:val="32"/>
          <w:szCs w:val="32"/>
        </w:rPr>
        <w:t>项目资金申请表</w:t>
      </w:r>
      <w:r>
        <w:rPr>
          <w:rFonts w:eastAsia="仿宋_GB2312"/>
          <w:b/>
          <w:bCs/>
          <w:sz w:val="32"/>
          <w:szCs w:val="32"/>
        </w:rPr>
        <w:t>（见附件</w:t>
      </w:r>
      <w:r>
        <w:rPr>
          <w:rFonts w:hint="eastAsia" w:eastAsia="仿宋_GB2312"/>
          <w:b/>
          <w:bCs/>
          <w:sz w:val="32"/>
          <w:szCs w:val="32"/>
        </w:rPr>
        <w:t>2-</w:t>
      </w:r>
      <w:r>
        <w:rPr>
          <w:rFonts w:hint="eastAsia" w:eastAsia="仿宋_GB2312"/>
          <w:b/>
          <w:bCs/>
          <w:sz w:val="32"/>
          <w:szCs w:val="32"/>
          <w:lang w:val="en-US" w:eastAsia="zh-CN"/>
        </w:rPr>
        <w:t>2</w:t>
      </w:r>
      <w:r>
        <w:rPr>
          <w:rFonts w:eastAsia="仿宋_GB2312"/>
          <w:b/>
          <w:bCs/>
          <w:sz w:val="32"/>
          <w:szCs w:val="32"/>
        </w:rPr>
        <w:t>）</w:t>
      </w:r>
    </w:p>
    <w:p>
      <w:pPr>
        <w:keepNext w:val="0"/>
        <w:keepLines w:val="0"/>
        <w:pageBreakBefore w:val="0"/>
        <w:kinsoku/>
        <w:wordWrap/>
        <w:overflowPunct/>
        <w:topLinePunct w:val="0"/>
        <w:autoSpaceDN/>
        <w:bidi w:val="0"/>
        <w:snapToGrid/>
        <w:spacing w:line="560" w:lineRule="exact"/>
        <w:ind w:firstLine="642" w:firstLineChars="200"/>
        <w:textAlignment w:val="auto"/>
        <w:rPr>
          <w:rFonts w:eastAsia="黑体"/>
          <w:b/>
          <w:bCs/>
          <w:color w:val="000000"/>
          <w:kern w:val="0"/>
          <w:sz w:val="32"/>
          <w:szCs w:val="32"/>
        </w:rPr>
      </w:pPr>
      <w:r>
        <w:rPr>
          <w:rFonts w:hint="eastAsia" w:ascii="仿宋_GB2312" w:hAnsi="仿宋_GB2312" w:eastAsia="仿宋_GB2312" w:cs="仿宋_GB2312"/>
          <w:b/>
          <w:bCs/>
          <w:color w:val="000000"/>
          <w:kern w:val="0"/>
          <w:sz w:val="32"/>
          <w:szCs w:val="32"/>
        </w:rPr>
        <w:t>（三）申请报告</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eastAsia="仿宋_GB2312"/>
          <w:sz w:val="32"/>
          <w:szCs w:val="32"/>
        </w:rPr>
        <w:t>202</w:t>
      </w:r>
      <w:r>
        <w:rPr>
          <w:rFonts w:hint="eastAsia" w:eastAsia="仿宋_GB2312"/>
          <w:sz w:val="32"/>
          <w:szCs w:val="32"/>
        </w:rPr>
        <w:t>4</w:t>
      </w:r>
      <w:r>
        <w:rPr>
          <w:rFonts w:ascii="仿宋_GB2312" w:eastAsia="仿宋_GB2312"/>
          <w:sz w:val="32"/>
          <w:szCs w:val="32"/>
        </w:rPr>
        <w:t>年</w:t>
      </w:r>
      <w:r>
        <w:rPr>
          <w:rFonts w:hint="eastAsia" w:ascii="仿宋_GB2312" w:eastAsia="仿宋_GB2312"/>
          <w:sz w:val="32"/>
          <w:szCs w:val="32"/>
        </w:rPr>
        <w:t>广东省制造业当家重点任务保障专项企业技术改造资金（技改金融政策）项目申请报告编写提纲：</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楷体_GB2312"/>
          <w:sz w:val="32"/>
          <w:szCs w:val="32"/>
        </w:rPr>
      </w:pPr>
      <w:r>
        <w:rPr>
          <w:rFonts w:hint="eastAsia" w:ascii="楷体_GB2312" w:eastAsia="楷体_GB2312"/>
          <w:bCs/>
          <w:sz w:val="32"/>
          <w:szCs w:val="32"/>
        </w:rPr>
        <w:t>1.</w:t>
      </w:r>
      <w:r>
        <w:rPr>
          <w:rFonts w:ascii="楷体_GB2312" w:eastAsia="楷体_GB2312"/>
          <w:bCs/>
          <w:sz w:val="32"/>
          <w:szCs w:val="32"/>
        </w:rPr>
        <w:t>申报单位概况</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ascii="仿宋_GB2312" w:eastAsia="仿宋_GB2312"/>
          <w:sz w:val="32"/>
          <w:szCs w:val="32"/>
        </w:rPr>
        <w:t>项目企业设立情况、股权结构、历史沿革，主要股东概况，主营业务情况，在行业中的地位和竞争力，现有生产、研发能力，近期财务状况，主要投资项目，未来发展战略等。</w:t>
      </w:r>
    </w:p>
    <w:p>
      <w:pPr>
        <w:keepNext w:val="0"/>
        <w:keepLines w:val="0"/>
        <w:pageBreakBefore w:val="0"/>
        <w:kinsoku/>
        <w:wordWrap/>
        <w:overflowPunct/>
        <w:topLinePunct w:val="0"/>
        <w:autoSpaceDN/>
        <w:bidi w:val="0"/>
        <w:snapToGrid/>
        <w:spacing w:line="560" w:lineRule="exact"/>
        <w:textAlignment w:val="auto"/>
        <w:rPr>
          <w:rFonts w:eastAsia="楷体_GB2312"/>
          <w:bCs/>
          <w:sz w:val="32"/>
          <w:szCs w:val="32"/>
        </w:rPr>
      </w:pPr>
      <w:r>
        <w:rPr>
          <w:rFonts w:eastAsia="楷体_GB2312"/>
          <w:bCs/>
          <w:sz w:val="32"/>
          <w:szCs w:val="32"/>
        </w:rPr>
        <w:t xml:space="preserve">    </w:t>
      </w:r>
      <w:r>
        <w:rPr>
          <w:rFonts w:hint="eastAsia" w:ascii="楷体_GB2312" w:eastAsia="楷体_GB2312"/>
          <w:bCs/>
          <w:sz w:val="32"/>
          <w:szCs w:val="32"/>
        </w:rPr>
        <w:t>2.</w:t>
      </w:r>
      <w:r>
        <w:rPr>
          <w:rFonts w:ascii="楷体_GB2312" w:eastAsia="楷体_GB2312"/>
          <w:bCs/>
          <w:sz w:val="32"/>
          <w:szCs w:val="32"/>
        </w:rPr>
        <w:t>项目概况</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ascii="仿宋_GB2312" w:eastAsia="仿宋_GB2312"/>
          <w:sz w:val="32"/>
          <w:szCs w:val="32"/>
        </w:rPr>
        <w:t>项目建设的基本情况，包括建设背景、建设地点、主要建设内容和规模、产品和工程技术方案、投资规模和资金筹措方案等内容；主要设备选型和配套工程、项目负责人基本情况；现有技术、装备等支持配套条件的落实情况，建设目标及主要技术经济指标，阐述技改项目必要性及可行性。</w:t>
      </w:r>
    </w:p>
    <w:p>
      <w:pPr>
        <w:keepNext w:val="0"/>
        <w:keepLines w:val="0"/>
        <w:pageBreakBefore w:val="0"/>
        <w:kinsoku/>
        <w:wordWrap/>
        <w:overflowPunct/>
        <w:topLinePunct w:val="0"/>
        <w:autoSpaceDN/>
        <w:bidi w:val="0"/>
        <w:snapToGrid/>
        <w:spacing w:line="560" w:lineRule="exact"/>
        <w:textAlignment w:val="auto"/>
        <w:rPr>
          <w:rFonts w:eastAsia="楷体_GB2312"/>
          <w:bCs/>
          <w:sz w:val="32"/>
          <w:szCs w:val="32"/>
        </w:rPr>
      </w:pPr>
      <w:r>
        <w:rPr>
          <w:rFonts w:eastAsia="楷体_GB2312"/>
          <w:bCs/>
          <w:sz w:val="32"/>
          <w:szCs w:val="32"/>
        </w:rPr>
        <w:t xml:space="preserve">    </w:t>
      </w:r>
      <w:r>
        <w:rPr>
          <w:rFonts w:hint="eastAsia" w:ascii="楷体_GB2312" w:eastAsia="楷体_GB2312"/>
          <w:bCs/>
          <w:sz w:val="32"/>
          <w:szCs w:val="32"/>
        </w:rPr>
        <w:t>3.</w:t>
      </w:r>
      <w:r>
        <w:rPr>
          <w:rFonts w:ascii="楷体_GB2312" w:eastAsia="楷体_GB2312"/>
          <w:bCs/>
          <w:sz w:val="32"/>
          <w:szCs w:val="32"/>
        </w:rPr>
        <w:t>项目实施条件</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ascii="仿宋_GB2312" w:eastAsia="仿宋_GB2312"/>
          <w:sz w:val="32"/>
          <w:szCs w:val="32"/>
        </w:rPr>
        <w:t>项目建设招投标方案，节能方案分析，建设用地、环境保护和生态影响情况分析，安全生产、消防等措施方案等。</w:t>
      </w:r>
    </w:p>
    <w:p>
      <w:pPr>
        <w:keepNext w:val="0"/>
        <w:keepLines w:val="0"/>
        <w:pageBreakBefore w:val="0"/>
        <w:kinsoku/>
        <w:wordWrap/>
        <w:overflowPunct/>
        <w:topLinePunct w:val="0"/>
        <w:autoSpaceDN/>
        <w:bidi w:val="0"/>
        <w:snapToGrid/>
        <w:spacing w:line="560" w:lineRule="exact"/>
        <w:textAlignment w:val="auto"/>
        <w:rPr>
          <w:rFonts w:eastAsia="楷体_GB2312"/>
          <w:bCs/>
          <w:sz w:val="32"/>
          <w:szCs w:val="32"/>
        </w:rPr>
      </w:pPr>
      <w:r>
        <w:rPr>
          <w:rFonts w:eastAsia="楷体_GB2312"/>
          <w:bCs/>
          <w:sz w:val="32"/>
          <w:szCs w:val="32"/>
        </w:rPr>
        <w:t xml:space="preserve">    </w:t>
      </w:r>
      <w:r>
        <w:rPr>
          <w:rFonts w:hint="eastAsia" w:ascii="楷体_GB2312" w:eastAsia="楷体_GB2312"/>
          <w:bCs/>
          <w:sz w:val="32"/>
          <w:szCs w:val="32"/>
        </w:rPr>
        <w:t>4.</w:t>
      </w:r>
      <w:r>
        <w:rPr>
          <w:rFonts w:ascii="楷体_GB2312" w:eastAsia="楷体_GB2312"/>
          <w:bCs/>
          <w:sz w:val="32"/>
          <w:szCs w:val="32"/>
        </w:rPr>
        <w:t>经济和社会影响分析</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ascii="仿宋_GB2312" w:eastAsia="仿宋_GB2312"/>
          <w:sz w:val="32"/>
          <w:szCs w:val="32"/>
        </w:rPr>
        <w:t>经济效益或效果分析：评价拟建项目的经济合理性，包括产能规模、财务分析、风险分析等。</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ascii="仿宋_GB2312" w:eastAsia="仿宋_GB2312"/>
          <w:sz w:val="32"/>
          <w:szCs w:val="32"/>
        </w:rPr>
        <w:t>行业影响分析：分析拟建项目对所在行业及关联产业发展的影响及带动效应。</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ascii="仿宋_GB2312" w:eastAsia="仿宋_GB2312"/>
          <w:sz w:val="32"/>
          <w:szCs w:val="32"/>
        </w:rPr>
        <w:t>社会影响效果分析：阐述拟建项目的建设及运营活动对项目所在地可能产生的社会影响和社会效益。</w:t>
      </w:r>
    </w:p>
    <w:p>
      <w:pPr>
        <w:keepNext w:val="0"/>
        <w:keepLines w:val="0"/>
        <w:pageBreakBefore w:val="0"/>
        <w:kinsoku/>
        <w:wordWrap/>
        <w:overflowPunct/>
        <w:topLinePunct w:val="0"/>
        <w:autoSpaceDN/>
        <w:bidi w:val="0"/>
        <w:snapToGrid/>
        <w:spacing w:line="560" w:lineRule="exact"/>
        <w:textAlignment w:val="auto"/>
        <w:rPr>
          <w:rFonts w:eastAsia="楷体_GB2312"/>
          <w:bCs/>
          <w:sz w:val="32"/>
          <w:szCs w:val="32"/>
        </w:rPr>
      </w:pPr>
      <w:r>
        <w:rPr>
          <w:rFonts w:eastAsia="楷体_GB2312"/>
          <w:bCs/>
          <w:sz w:val="32"/>
          <w:szCs w:val="32"/>
        </w:rPr>
        <w:t xml:space="preserve">    </w:t>
      </w:r>
      <w:r>
        <w:rPr>
          <w:rFonts w:hint="eastAsia" w:ascii="楷体_GB2312" w:eastAsia="楷体_GB2312"/>
          <w:bCs/>
          <w:sz w:val="32"/>
          <w:szCs w:val="32"/>
        </w:rPr>
        <w:t>5.</w:t>
      </w:r>
      <w:r>
        <w:rPr>
          <w:rFonts w:ascii="楷体_GB2312" w:eastAsia="楷体_GB2312"/>
          <w:bCs/>
          <w:sz w:val="32"/>
          <w:szCs w:val="32"/>
        </w:rPr>
        <w:t>项目对企业的发展作用</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ascii="仿宋_GB2312" w:eastAsia="仿宋_GB2312"/>
          <w:sz w:val="32"/>
          <w:szCs w:val="32"/>
        </w:rPr>
        <w:t>包括项目的实施对企业发展在技术方面的积极作用、项目可持续发展的情况，预期的经济效益等。</w:t>
      </w:r>
    </w:p>
    <w:p>
      <w:pPr>
        <w:keepNext w:val="0"/>
        <w:keepLines w:val="0"/>
        <w:pageBreakBefore w:val="0"/>
        <w:kinsoku/>
        <w:wordWrap/>
        <w:overflowPunct/>
        <w:topLinePunct w:val="0"/>
        <w:autoSpaceDN/>
        <w:bidi w:val="0"/>
        <w:snapToGrid/>
        <w:spacing w:line="560" w:lineRule="exact"/>
        <w:textAlignment w:val="auto"/>
        <w:rPr>
          <w:rFonts w:eastAsia="楷体_GB2312"/>
          <w:bCs/>
          <w:sz w:val="32"/>
          <w:szCs w:val="32"/>
        </w:rPr>
      </w:pPr>
      <w:r>
        <w:rPr>
          <w:rFonts w:eastAsia="楷体_GB2312"/>
          <w:bCs/>
          <w:sz w:val="32"/>
          <w:szCs w:val="32"/>
        </w:rPr>
        <w:t xml:space="preserve">    </w:t>
      </w:r>
      <w:r>
        <w:rPr>
          <w:rFonts w:hint="eastAsia" w:ascii="楷体_GB2312" w:eastAsia="楷体_GB2312"/>
          <w:bCs/>
          <w:sz w:val="32"/>
          <w:szCs w:val="32"/>
        </w:rPr>
        <w:t>6.</w:t>
      </w:r>
      <w:r>
        <w:rPr>
          <w:rFonts w:ascii="楷体_GB2312" w:eastAsia="楷体_GB2312"/>
          <w:bCs/>
          <w:sz w:val="32"/>
          <w:szCs w:val="32"/>
        </w:rPr>
        <w:t>风险因素</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ascii="仿宋_GB2312" w:eastAsia="仿宋_GB2312"/>
          <w:sz w:val="32"/>
          <w:szCs w:val="32"/>
        </w:rPr>
        <w:t>项目实施存在的不确定因素，包括但不限于行业、政策风险；技术升级改造的技术、人力支持等风险；技术改造达不到预期效果的风险等。</w:t>
      </w:r>
    </w:p>
    <w:p>
      <w:pPr>
        <w:keepNext w:val="0"/>
        <w:keepLines w:val="0"/>
        <w:pageBreakBefore w:val="0"/>
        <w:kinsoku/>
        <w:wordWrap/>
        <w:overflowPunct/>
        <w:topLinePunct w:val="0"/>
        <w:autoSpaceDN/>
        <w:bidi w:val="0"/>
        <w:snapToGrid/>
        <w:spacing w:line="560" w:lineRule="exact"/>
        <w:ind w:firstLine="642" w:firstLineChars="200"/>
        <w:textAlignment w:val="auto"/>
        <w:rPr>
          <w:rFonts w:eastAsia="仿宋_GB2312"/>
          <w:b/>
          <w:bCs/>
          <w:sz w:val="32"/>
          <w:szCs w:val="32"/>
        </w:rPr>
      </w:pPr>
      <w:r>
        <w:rPr>
          <w:rFonts w:hint="eastAsia" w:ascii="仿宋_GB2312" w:hAnsi="仿宋_GB2312" w:eastAsia="仿宋_GB2312" w:cs="仿宋_GB2312"/>
          <w:b/>
          <w:bCs/>
          <w:color w:val="000000"/>
          <w:kern w:val="0"/>
          <w:sz w:val="32"/>
          <w:szCs w:val="32"/>
        </w:rPr>
        <w:t>（四）附件</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hint="eastAsia" w:ascii="仿宋_GB2312" w:eastAsia="仿宋_GB2312"/>
          <w:sz w:val="32"/>
          <w:szCs w:val="32"/>
        </w:rPr>
        <w:t>1.</w:t>
      </w:r>
      <w:r>
        <w:rPr>
          <w:rFonts w:ascii="仿宋_GB2312" w:eastAsia="仿宋_GB2312"/>
          <w:sz w:val="32"/>
          <w:szCs w:val="32"/>
        </w:rPr>
        <w:t>由</w:t>
      </w:r>
      <w:r>
        <w:rPr>
          <w:rFonts w:hint="eastAsia" w:ascii="仿宋_GB2312" w:eastAsia="仿宋_GB2312"/>
          <w:color w:val="000000"/>
          <w:sz w:val="32"/>
          <w:szCs w:val="32"/>
        </w:rPr>
        <w:t>工业和信息化主管部门出具的</w:t>
      </w:r>
      <w:r>
        <w:rPr>
          <w:rFonts w:ascii="仿宋_GB2312" w:eastAsia="仿宋_GB2312"/>
          <w:color w:val="000000"/>
          <w:sz w:val="32"/>
          <w:szCs w:val="32"/>
        </w:rPr>
        <w:t>技术改造</w:t>
      </w:r>
      <w:r>
        <w:rPr>
          <w:rFonts w:hint="eastAsia" w:ascii="仿宋_GB2312" w:eastAsia="仿宋_GB2312"/>
          <w:color w:val="000000"/>
          <w:sz w:val="32"/>
          <w:szCs w:val="32"/>
        </w:rPr>
        <w:t>备案、核准或审批文件，民爆安全生产企业调整生产能力或品种的改建、扩建技术改造项目提供工信部的民用爆炸物品生产许可证</w:t>
      </w:r>
      <w:r>
        <w:rPr>
          <w:rFonts w:ascii="仿宋_GB2312" w:eastAsia="仿宋_GB2312"/>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hint="eastAsia" w:ascii="仿宋_GB2312" w:eastAsia="仿宋_GB2312"/>
          <w:b/>
          <w:bCs/>
          <w:sz w:val="32"/>
          <w:szCs w:val="32"/>
          <w:highlight w:val="none"/>
        </w:rPr>
      </w:pPr>
      <w:r>
        <w:rPr>
          <w:rFonts w:hint="eastAsia" w:ascii="仿宋_GB2312" w:eastAsia="仿宋_GB2312"/>
          <w:sz w:val="32"/>
          <w:szCs w:val="32"/>
          <w:highlight w:val="none"/>
        </w:rPr>
        <w:t>2.按规定需要进行环评、节能审查、安评及安全生产验收、施工许可等必要审批（审查）手续的项目，需提供有关完备手续</w:t>
      </w:r>
      <w:r>
        <w:rPr>
          <w:rFonts w:ascii="仿宋_GB2312" w:eastAsia="仿宋_GB2312"/>
          <w:sz w:val="32"/>
          <w:szCs w:val="32"/>
          <w:highlight w:val="none"/>
        </w:rPr>
        <w:t>文件，</w:t>
      </w:r>
      <w:r>
        <w:rPr>
          <w:rFonts w:hint="eastAsia" w:ascii="仿宋_GB2312" w:eastAsia="仿宋_GB2312"/>
          <w:sz w:val="32"/>
          <w:szCs w:val="32"/>
          <w:highlight w:val="none"/>
        </w:rPr>
        <w:t>无需相关手续</w:t>
      </w:r>
      <w:r>
        <w:rPr>
          <w:rFonts w:ascii="仿宋_GB2312" w:eastAsia="仿宋_GB2312"/>
          <w:sz w:val="32"/>
          <w:szCs w:val="32"/>
          <w:highlight w:val="none"/>
        </w:rPr>
        <w:t>则</w:t>
      </w:r>
      <w:r>
        <w:rPr>
          <w:rFonts w:hint="eastAsia" w:ascii="仿宋_GB2312" w:eastAsia="仿宋_GB2312"/>
          <w:sz w:val="32"/>
          <w:szCs w:val="32"/>
          <w:highlight w:val="none"/>
        </w:rPr>
        <w:t>由企业提供</w:t>
      </w:r>
      <w:r>
        <w:rPr>
          <w:rFonts w:ascii="仿宋_GB2312" w:eastAsia="仿宋_GB2312"/>
          <w:sz w:val="32"/>
          <w:szCs w:val="32"/>
          <w:highlight w:val="none"/>
        </w:rPr>
        <w:t>说明文件</w:t>
      </w:r>
      <w:r>
        <w:rPr>
          <w:rFonts w:hint="eastAsia" w:ascii="仿宋_GB2312" w:eastAsia="仿宋_GB2312"/>
          <w:b/>
          <w:bCs/>
          <w:sz w:val="32"/>
          <w:szCs w:val="32"/>
          <w:highlight w:val="none"/>
        </w:rPr>
        <w:t>（见附件2-</w:t>
      </w:r>
      <w:r>
        <w:rPr>
          <w:rFonts w:hint="eastAsia" w:ascii="仿宋_GB2312" w:eastAsia="仿宋_GB2312"/>
          <w:b/>
          <w:bCs/>
          <w:sz w:val="32"/>
          <w:szCs w:val="32"/>
          <w:highlight w:val="none"/>
          <w:lang w:val="en-US" w:eastAsia="zh-CN"/>
        </w:rPr>
        <w:t>3</w:t>
      </w:r>
      <w:r>
        <w:rPr>
          <w:rFonts w:hint="eastAsia" w:ascii="仿宋_GB2312" w:eastAsia="仿宋_GB2312"/>
          <w:b/>
          <w:bCs/>
          <w:sz w:val="32"/>
          <w:szCs w:val="32"/>
          <w:highlight w:val="none"/>
        </w:rPr>
        <w:t>）</w:t>
      </w:r>
      <w:r>
        <w:rPr>
          <w:rFonts w:hint="eastAsia" w:ascii="仿宋_GB2312" w:eastAsia="仿宋_GB2312"/>
          <w:b w:val="0"/>
          <w:bCs w:val="0"/>
          <w:sz w:val="32"/>
          <w:szCs w:val="32"/>
          <w:highlight w:val="none"/>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hint="eastAsia" w:ascii="仿宋_GB2312" w:eastAsia="仿宋_GB2312"/>
          <w:sz w:val="32"/>
          <w:szCs w:val="32"/>
        </w:rPr>
        <w:t>3.</w:t>
      </w:r>
      <w:r>
        <w:rPr>
          <w:rFonts w:ascii="仿宋_GB2312" w:eastAsia="仿宋_GB2312"/>
          <w:sz w:val="32"/>
          <w:szCs w:val="32"/>
        </w:rPr>
        <w:t>与所申报项目相关</w:t>
      </w:r>
      <w:r>
        <w:rPr>
          <w:rFonts w:hint="eastAsia" w:ascii="仿宋_GB2312" w:eastAsia="仿宋_GB2312"/>
          <w:sz w:val="32"/>
          <w:szCs w:val="32"/>
        </w:rPr>
        <w:t>合规的用地和</w:t>
      </w:r>
      <w:r>
        <w:rPr>
          <w:rFonts w:ascii="仿宋_GB2312" w:eastAsia="仿宋_GB2312"/>
          <w:sz w:val="32"/>
          <w:szCs w:val="32"/>
        </w:rPr>
        <w:t>规划选址文件（</w:t>
      </w:r>
      <w:r>
        <w:rPr>
          <w:rFonts w:hint="eastAsia" w:ascii="仿宋_GB2312" w:eastAsia="仿宋_GB2312"/>
          <w:sz w:val="32"/>
          <w:szCs w:val="32"/>
        </w:rPr>
        <w:t>以下复印件提供其中一项即可：（1）若项目建设租赁厂房的，提供土地及厂房租赁合同等资料的复印件；（2）若项目有土地使用证或房地产权证，且没改变用地性质的，无需规划选址</w:t>
      </w:r>
      <w:r>
        <w:rPr>
          <w:rFonts w:ascii="仿宋_GB2312" w:eastAsia="仿宋_GB2312"/>
          <w:sz w:val="32"/>
          <w:szCs w:val="32"/>
        </w:rPr>
        <w:t>意见，提供土地使用证</w:t>
      </w:r>
      <w:r>
        <w:rPr>
          <w:rFonts w:hint="eastAsia" w:ascii="仿宋_GB2312" w:eastAsia="仿宋_GB2312"/>
          <w:sz w:val="32"/>
          <w:szCs w:val="32"/>
        </w:rPr>
        <w:t>或</w:t>
      </w:r>
      <w:r>
        <w:rPr>
          <w:rFonts w:ascii="仿宋_GB2312" w:eastAsia="仿宋_GB2312"/>
          <w:sz w:val="32"/>
          <w:szCs w:val="32"/>
        </w:rPr>
        <w:t>房地产权证</w:t>
      </w:r>
      <w:r>
        <w:rPr>
          <w:rFonts w:hint="eastAsia" w:ascii="仿宋_GB2312" w:eastAsia="仿宋_GB2312"/>
          <w:sz w:val="32"/>
          <w:szCs w:val="32"/>
        </w:rPr>
        <w:t>复印件；（3）若项目有土地使用证和规划许可证，提供复印件）；</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hint="eastAsia" w:ascii="仿宋_GB2312" w:eastAsia="仿宋_GB2312"/>
          <w:sz w:val="32"/>
          <w:szCs w:val="32"/>
        </w:rPr>
        <w:t>4.</w:t>
      </w:r>
      <w:r>
        <w:rPr>
          <w:rFonts w:ascii="仿宋_GB2312" w:eastAsia="仿宋_GB2312"/>
          <w:sz w:val="32"/>
          <w:szCs w:val="32"/>
        </w:rPr>
        <w:t>项目按规定</w:t>
      </w:r>
      <w:r>
        <w:rPr>
          <w:rFonts w:hint="eastAsia" w:ascii="仿宋_GB2312" w:eastAsia="仿宋_GB2312"/>
          <w:sz w:val="32"/>
          <w:szCs w:val="32"/>
        </w:rPr>
        <w:t>申报</w:t>
      </w:r>
      <w:r>
        <w:rPr>
          <w:rFonts w:ascii="仿宋_GB2312" w:eastAsia="仿宋_GB2312"/>
          <w:sz w:val="32"/>
          <w:szCs w:val="32"/>
        </w:rPr>
        <w:t>技术改造投资统计</w:t>
      </w:r>
      <w:r>
        <w:rPr>
          <w:rFonts w:hint="eastAsia" w:ascii="仿宋_GB2312" w:eastAsia="仿宋_GB2312"/>
          <w:sz w:val="32"/>
          <w:szCs w:val="32"/>
        </w:rPr>
        <w:t>相关</w:t>
      </w:r>
      <w:r>
        <w:rPr>
          <w:rFonts w:ascii="仿宋_GB2312" w:eastAsia="仿宋_GB2312"/>
          <w:sz w:val="32"/>
          <w:szCs w:val="32"/>
        </w:rPr>
        <w:t>材料</w:t>
      </w:r>
      <w:r>
        <w:rPr>
          <w:rFonts w:hint="eastAsia" w:ascii="仿宋_GB2312" w:eastAsia="仿宋_GB2312"/>
          <w:b/>
          <w:bCs/>
          <w:sz w:val="32"/>
          <w:szCs w:val="32"/>
        </w:rPr>
        <w:t>（“固定资产投资项目情况”</w:t>
      </w:r>
      <w:r>
        <w:rPr>
          <w:rFonts w:hint="eastAsia" w:ascii="仿宋_GB2312" w:hAnsi="仿宋_GB2312" w:eastAsia="仿宋_GB2312" w:cs="仿宋_GB2312"/>
          <w:b/>
          <w:bCs/>
          <w:sz w:val="32"/>
          <w:szCs w:val="32"/>
        </w:rPr>
        <w:t>206</w:t>
      </w:r>
      <w:r>
        <w:rPr>
          <w:rFonts w:hint="eastAsia" w:ascii="仿宋_GB2312" w:eastAsia="仿宋_GB2312"/>
          <w:b/>
          <w:bCs/>
          <w:sz w:val="32"/>
          <w:szCs w:val="32"/>
        </w:rPr>
        <w:t>表）</w:t>
      </w:r>
      <w:r>
        <w:rPr>
          <w:rFonts w:ascii="仿宋_GB2312" w:eastAsia="仿宋_GB2312"/>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hint="eastAsia" w:ascii="仿宋_GB2312" w:eastAsia="仿宋_GB2312"/>
          <w:sz w:val="32"/>
          <w:szCs w:val="32"/>
        </w:rPr>
        <w:t>5.工业企业</w:t>
      </w:r>
      <w:r>
        <w:rPr>
          <w:rFonts w:ascii="仿宋_GB2312" w:eastAsia="仿宋_GB2312"/>
          <w:sz w:val="32"/>
          <w:szCs w:val="32"/>
        </w:rPr>
        <w:t>营业执照</w:t>
      </w:r>
      <w:r>
        <w:rPr>
          <w:rFonts w:hint="eastAsia" w:ascii="仿宋_GB2312" w:eastAsia="仿宋_GB2312"/>
          <w:sz w:val="32"/>
          <w:szCs w:val="32"/>
        </w:rPr>
        <w:t>复印件</w:t>
      </w:r>
      <w:r>
        <w:rPr>
          <w:rFonts w:ascii="仿宋_GB2312" w:eastAsia="仿宋_GB2312"/>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hint="eastAsia" w:ascii="仿宋_GB2312" w:eastAsia="仿宋_GB2312"/>
          <w:sz w:val="32"/>
          <w:szCs w:val="32"/>
        </w:rPr>
        <w:t>6.经会计师事务所出具的</w:t>
      </w:r>
      <w:r>
        <w:rPr>
          <w:rFonts w:eastAsia="仿宋_GB2312"/>
          <w:b w:val="0"/>
          <w:bCs w:val="0"/>
          <w:sz w:val="32"/>
          <w:szCs w:val="32"/>
        </w:rPr>
        <w:t>2023</w:t>
      </w:r>
      <w:r>
        <w:rPr>
          <w:rFonts w:ascii="仿宋_GB2312" w:eastAsia="仿宋_GB2312"/>
          <w:b w:val="0"/>
          <w:bCs w:val="0"/>
          <w:sz w:val="32"/>
          <w:szCs w:val="32"/>
        </w:rPr>
        <w:t>年度</w:t>
      </w:r>
      <w:r>
        <w:rPr>
          <w:rFonts w:hint="eastAsia" w:ascii="仿宋_GB2312" w:eastAsia="仿宋_GB2312"/>
          <w:b w:val="0"/>
          <w:bCs w:val="0"/>
          <w:sz w:val="32"/>
          <w:szCs w:val="32"/>
        </w:rPr>
        <w:t>财务审计报告</w:t>
      </w:r>
      <w:r>
        <w:rPr>
          <w:rFonts w:ascii="仿宋_GB2312" w:eastAsia="仿宋_GB2312"/>
          <w:b w:val="0"/>
          <w:bCs w:val="0"/>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7.符合贴息范围的借款合同</w:t>
      </w:r>
      <w:r>
        <w:rPr>
          <w:rFonts w:hint="eastAsia" w:ascii="仿宋_GB2312" w:eastAsia="仿宋_GB2312"/>
          <w:b/>
          <w:bCs/>
          <w:sz w:val="32"/>
          <w:szCs w:val="32"/>
        </w:rPr>
        <w:t>（借款合同须明确贷款资金用于的具体技术改造项目名称、固定资产投资清单）</w:t>
      </w:r>
      <w:r>
        <w:rPr>
          <w:rFonts w:hint="eastAsia" w:ascii="仿宋_GB2312" w:eastAsia="仿宋_GB2312"/>
          <w:sz w:val="32"/>
          <w:szCs w:val="32"/>
        </w:rPr>
        <w:t>、相对应的借款合同借记凭证（借款借据、记账凭证）、付息流水及利息单等凭证，并填写借款明细表</w:t>
      </w:r>
      <w:r>
        <w:rPr>
          <w:rFonts w:hint="eastAsia" w:ascii="仿宋_GB2312" w:eastAsia="仿宋_GB2312"/>
          <w:b/>
          <w:bCs/>
          <w:sz w:val="32"/>
          <w:szCs w:val="32"/>
        </w:rPr>
        <w:t>（见附件</w:t>
      </w:r>
      <w:r>
        <w:rPr>
          <w:rFonts w:hint="eastAsia" w:ascii="仿宋_GB2312" w:hAnsi="仿宋_GB2312" w:eastAsia="仿宋_GB2312" w:cs="仿宋_GB2312"/>
          <w:b/>
          <w:bCs/>
          <w:sz w:val="32"/>
          <w:szCs w:val="32"/>
        </w:rPr>
        <w:t>2-4</w:t>
      </w:r>
      <w:r>
        <w:rPr>
          <w:rFonts w:hint="eastAsia" w:ascii="仿宋_GB2312" w:eastAsia="仿宋_GB2312"/>
          <w:b/>
          <w:bCs/>
          <w:sz w:val="32"/>
          <w:szCs w:val="32"/>
        </w:rPr>
        <w:t>，银行贷款贴息方式提供）</w:t>
      </w:r>
      <w:r>
        <w:rPr>
          <w:rFonts w:hint="eastAsia" w:ascii="仿宋_GB2312" w:eastAsia="仿宋_GB2312"/>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b/>
          <w:bCs/>
          <w:sz w:val="32"/>
          <w:szCs w:val="32"/>
        </w:rPr>
      </w:pPr>
      <w:r>
        <w:rPr>
          <w:rFonts w:hint="eastAsia" w:ascii="仿宋_GB2312" w:eastAsia="仿宋_GB2312"/>
          <w:sz w:val="32"/>
          <w:szCs w:val="32"/>
          <w:lang w:val="en-US" w:eastAsia="zh-CN"/>
        </w:rPr>
        <w:t>8</w:t>
      </w:r>
      <w:r>
        <w:rPr>
          <w:rFonts w:hint="eastAsia" w:ascii="仿宋_GB2312" w:eastAsia="仿宋_GB2312"/>
          <w:sz w:val="32"/>
          <w:szCs w:val="32"/>
        </w:rPr>
        <w:t>.符合条件的保险增信银行借款合同</w:t>
      </w:r>
      <w:r>
        <w:rPr>
          <w:rFonts w:hint="eastAsia" w:ascii="仿宋_GB2312" w:eastAsia="仿宋_GB2312"/>
          <w:b/>
          <w:bCs/>
          <w:sz w:val="32"/>
          <w:szCs w:val="32"/>
        </w:rPr>
        <w:t>（借款合同须明确贷款资金用于的具体技术改造项目名称、固定资产投资清单）</w:t>
      </w:r>
      <w:r>
        <w:rPr>
          <w:rFonts w:hint="eastAsia" w:ascii="仿宋_GB2312" w:eastAsia="仿宋_GB2312"/>
          <w:sz w:val="32"/>
          <w:szCs w:val="32"/>
        </w:rPr>
        <w:t>、保单（技改项目保险增信）、相关批单、支付凭证及全额保费发票（不含中介费）等，并填写保费明细表</w:t>
      </w:r>
      <w:r>
        <w:rPr>
          <w:rFonts w:hint="eastAsia" w:ascii="仿宋_GB2312" w:eastAsia="仿宋_GB2312"/>
          <w:b/>
          <w:bCs/>
          <w:sz w:val="32"/>
          <w:szCs w:val="32"/>
        </w:rPr>
        <w:t>（见附件</w:t>
      </w:r>
      <w:r>
        <w:rPr>
          <w:rFonts w:hint="eastAsia" w:ascii="仿宋_GB2312" w:hAnsi="仿宋_GB2312" w:eastAsia="仿宋_GB2312" w:cs="仿宋_GB2312"/>
          <w:b/>
          <w:bCs/>
          <w:sz w:val="32"/>
          <w:szCs w:val="32"/>
        </w:rPr>
        <w:t>2-</w:t>
      </w:r>
      <w:r>
        <w:rPr>
          <w:rFonts w:hint="eastAsia" w:ascii="仿宋_GB2312" w:hAnsi="仿宋_GB2312" w:eastAsia="仿宋_GB2312" w:cs="仿宋_GB2312"/>
          <w:b/>
          <w:bCs/>
          <w:sz w:val="32"/>
          <w:szCs w:val="32"/>
          <w:lang w:val="en-US" w:eastAsia="zh-CN"/>
        </w:rPr>
        <w:t>5</w:t>
      </w:r>
      <w:r>
        <w:rPr>
          <w:rFonts w:hint="eastAsia" w:ascii="仿宋_GB2312" w:eastAsia="仿宋_GB2312"/>
          <w:b/>
          <w:bCs/>
          <w:sz w:val="32"/>
          <w:szCs w:val="32"/>
        </w:rPr>
        <w:t>，保险增信补贴方式提供）</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sz w:val="32"/>
          <w:szCs w:val="32"/>
        </w:rPr>
      </w:pPr>
      <w:r>
        <w:rPr>
          <w:rFonts w:hint="eastAsia" w:ascii="仿宋_GB2312" w:eastAsia="仿宋_GB2312"/>
          <w:sz w:val="32"/>
          <w:szCs w:val="32"/>
          <w:lang w:val="en-US" w:eastAsia="zh"/>
        </w:rPr>
        <w:t>9</w:t>
      </w:r>
      <w:r>
        <w:rPr>
          <w:rFonts w:hint="eastAsia" w:ascii="仿宋_GB2312" w:eastAsia="仿宋_GB2312"/>
          <w:sz w:val="32"/>
          <w:szCs w:val="32"/>
        </w:rPr>
        <w:t>.企业与融资租赁公司签订的融资租赁合同（包含资产转让协议、还款计划表）、融资租赁款收款银行回单或设备购置发票、租金支付凭证（包含转账凭证、租息发票）、租赁设备清单（包含购置发票或设备价值评估报告）等，并填写融资租赁款明细表</w:t>
      </w:r>
      <w:r>
        <w:rPr>
          <w:rFonts w:hint="eastAsia" w:ascii="仿宋_GB2312" w:hAnsi="仿宋_GB2312" w:eastAsia="仿宋_GB2312" w:cs="仿宋_GB2312"/>
          <w:b/>
          <w:bCs/>
          <w:sz w:val="32"/>
          <w:szCs w:val="32"/>
        </w:rPr>
        <w:t>（见附件2-</w:t>
      </w:r>
      <w:r>
        <w:rPr>
          <w:rFonts w:hint="eastAsia" w:ascii="仿宋_GB2312" w:hAnsi="仿宋_GB2312" w:eastAsia="仿宋_GB2312" w:cs="仿宋_GB2312"/>
          <w:b/>
          <w:bCs/>
          <w:sz w:val="32"/>
          <w:szCs w:val="32"/>
          <w:lang w:val="en-US" w:eastAsia="zh"/>
        </w:rPr>
        <w:t>6</w:t>
      </w:r>
      <w:r>
        <w:rPr>
          <w:rFonts w:hint="eastAsia" w:ascii="仿宋_GB2312" w:hAnsi="仿宋_GB2312" w:eastAsia="仿宋_GB2312" w:cs="仿宋_GB2312"/>
          <w:b/>
          <w:bCs/>
          <w:sz w:val="32"/>
          <w:szCs w:val="32"/>
        </w:rPr>
        <w:t>，融资租赁补贴方式提供）</w:t>
      </w:r>
      <w:r>
        <w:rPr>
          <w:rFonts w:hint="eastAsia" w:ascii="仿宋_GB2312" w:eastAsia="仿宋_GB2312"/>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b w:val="0"/>
          <w:bCs w:val="0"/>
          <w:sz w:val="32"/>
          <w:szCs w:val="32"/>
        </w:rPr>
      </w:pPr>
      <w:r>
        <w:rPr>
          <w:rFonts w:hint="eastAsia" w:ascii="仿宋_GB2312" w:eastAsia="仿宋_GB2312"/>
          <w:b w:val="0"/>
          <w:bCs w:val="0"/>
          <w:sz w:val="32"/>
          <w:szCs w:val="32"/>
        </w:rPr>
        <w:t>1</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.承诺书</w:t>
      </w:r>
      <w:r>
        <w:rPr>
          <w:rFonts w:hint="eastAsia" w:ascii="仿宋_GB2312" w:hAnsi="仿宋_GB2312" w:eastAsia="仿宋_GB2312" w:cs="仿宋_GB2312"/>
          <w:b/>
          <w:bCs/>
          <w:sz w:val="32"/>
          <w:szCs w:val="32"/>
        </w:rPr>
        <w:t>（见附件2-</w:t>
      </w:r>
      <w:r>
        <w:rPr>
          <w:rFonts w:hint="eastAsia" w:ascii="仿宋_GB2312" w:hAnsi="仿宋_GB2312" w:eastAsia="仿宋_GB2312" w:cs="仿宋_GB2312"/>
          <w:b/>
          <w:bCs/>
          <w:sz w:val="32"/>
          <w:szCs w:val="32"/>
          <w:lang w:val="en-US" w:eastAsia="zh-CN"/>
        </w:rPr>
        <w:t>7</w:t>
      </w:r>
      <w:r>
        <w:rPr>
          <w:rFonts w:hint="eastAsia" w:ascii="仿宋_GB2312" w:hAnsi="仿宋_GB2312" w:eastAsia="仿宋_GB2312" w:cs="仿宋_GB2312"/>
          <w:b/>
          <w:bCs/>
          <w:sz w:val="32"/>
          <w:szCs w:val="32"/>
        </w:rPr>
        <w:t>）</w:t>
      </w:r>
      <w:r>
        <w:rPr>
          <w:rFonts w:hint="eastAsia" w:ascii="仿宋_GB2312" w:eastAsia="仿宋_GB2312"/>
          <w:b w:val="0"/>
          <w:bCs w:val="0"/>
          <w:sz w:val="32"/>
          <w:szCs w:val="32"/>
        </w:rPr>
        <w:t>。</w:t>
      </w:r>
    </w:p>
    <w:p>
      <w:pPr>
        <w:keepNext w:val="0"/>
        <w:keepLines w:val="0"/>
        <w:pageBreakBefore w:val="0"/>
        <w:kinsoku/>
        <w:wordWrap/>
        <w:overflowPunct/>
        <w:topLinePunct w:val="0"/>
        <w:autoSpaceDN/>
        <w:bidi w:val="0"/>
        <w:snapToGrid/>
        <w:spacing w:line="560" w:lineRule="exact"/>
        <w:ind w:firstLine="640" w:firstLineChars="200"/>
        <w:textAlignment w:val="auto"/>
        <w:rPr>
          <w:rFonts w:eastAsia="仿宋_GB2312"/>
          <w:b w:val="0"/>
          <w:bCs w:val="0"/>
          <w:sz w:val="32"/>
          <w:szCs w:val="32"/>
        </w:rPr>
      </w:pPr>
      <w:r>
        <w:rPr>
          <w:rFonts w:hint="eastAsia" w:ascii="仿宋_GB2312" w:eastAsia="仿宋_GB2312"/>
          <w:b w:val="0"/>
          <w:bCs w:val="0"/>
          <w:sz w:val="32"/>
          <w:szCs w:val="32"/>
        </w:rPr>
        <w:t>1</w:t>
      </w:r>
      <w:r>
        <w:rPr>
          <w:rFonts w:hint="eastAsia" w:ascii="仿宋_GB2312" w:eastAsia="仿宋_GB2312"/>
          <w:b w:val="0"/>
          <w:bCs w:val="0"/>
          <w:sz w:val="32"/>
          <w:szCs w:val="32"/>
          <w:lang w:val="en-US" w:eastAsia="zh-CN"/>
        </w:rPr>
        <w:t>1</w:t>
      </w:r>
      <w:r>
        <w:rPr>
          <w:rFonts w:hint="eastAsia" w:ascii="仿宋_GB2312" w:eastAsia="仿宋_GB2312"/>
          <w:b w:val="0"/>
          <w:bCs w:val="0"/>
          <w:sz w:val="32"/>
          <w:szCs w:val="32"/>
        </w:rPr>
        <w:t>.企业诚信经营支撑材料</w:t>
      </w:r>
      <w:r>
        <w:rPr>
          <w:rFonts w:hint="eastAsia" w:ascii="仿宋_GB2312" w:eastAsia="仿宋_GB2312"/>
          <w:b/>
          <w:bCs/>
          <w:sz w:val="32"/>
          <w:szCs w:val="32"/>
        </w:rPr>
        <w:t>（</w:t>
      </w:r>
      <w:r>
        <w:rPr>
          <w:rFonts w:hint="eastAsia" w:ascii="仿宋_GB2312" w:eastAsia="仿宋_GB2312"/>
          <w:b/>
          <w:bCs/>
          <w:sz w:val="32"/>
          <w:szCs w:val="32"/>
          <w:lang w:eastAsia="zh-CN"/>
        </w:rPr>
        <w:t>无违法违规证明公共信用信息报告，</w:t>
      </w:r>
      <w:r>
        <w:rPr>
          <w:rFonts w:hint="eastAsia" w:ascii="仿宋_GB2312" w:eastAsia="仿宋_GB2312"/>
          <w:b/>
          <w:bCs/>
          <w:sz w:val="32"/>
          <w:szCs w:val="32"/>
        </w:rPr>
        <w:t>见附件2-</w:t>
      </w:r>
      <w:r>
        <w:rPr>
          <w:rFonts w:hint="eastAsia" w:ascii="仿宋_GB2312" w:eastAsia="仿宋_GB2312"/>
          <w:b/>
          <w:bCs/>
          <w:sz w:val="32"/>
          <w:szCs w:val="32"/>
          <w:lang w:val="en-US" w:eastAsia="zh-CN"/>
        </w:rPr>
        <w:t>8</w:t>
      </w:r>
      <w:r>
        <w:rPr>
          <w:rFonts w:hint="eastAsia" w:ascii="仿宋_GB2312" w:eastAsia="仿宋_GB2312"/>
          <w:b/>
          <w:bCs/>
          <w:sz w:val="32"/>
          <w:szCs w:val="32"/>
        </w:rPr>
        <w:t>）</w:t>
      </w:r>
      <w:r>
        <w:rPr>
          <w:rFonts w:hint="eastAsia" w:ascii="仿宋_GB2312" w:eastAsia="仿宋_GB2312"/>
          <w:b w:val="0"/>
          <w:bCs w:val="0"/>
          <w:sz w:val="32"/>
          <w:szCs w:val="32"/>
        </w:rPr>
        <w:t>。</w:t>
      </w:r>
    </w:p>
    <w:p>
      <w:pPr>
        <w:keepNext w:val="0"/>
        <w:keepLines w:val="0"/>
        <w:pageBreakBefore w:val="0"/>
        <w:kinsoku/>
        <w:wordWrap/>
        <w:overflowPunct/>
        <w:topLinePunct w:val="0"/>
        <w:autoSpaceDN/>
        <w:bidi w:val="0"/>
        <w:snapToGrid/>
        <w:spacing w:line="560" w:lineRule="exact"/>
        <w:ind w:firstLine="640"/>
        <w:textAlignment w:val="auto"/>
        <w:rPr>
          <w:rFonts w:ascii="仿宋_GB2312" w:eastAsia="仿宋_GB2312"/>
          <w:b/>
          <w:bCs/>
          <w:color w:val="000000"/>
          <w:kern w:val="0"/>
          <w:sz w:val="32"/>
          <w:szCs w:val="32"/>
        </w:rPr>
      </w:pPr>
      <w:r>
        <w:rPr>
          <w:rFonts w:ascii="仿宋_GB2312" w:eastAsia="仿宋_GB2312"/>
          <w:b/>
          <w:bCs/>
          <w:color w:val="000000"/>
          <w:kern w:val="0"/>
          <w:sz w:val="32"/>
          <w:szCs w:val="32"/>
        </w:rPr>
        <w:t>申报材料按顺序依次编排并</w:t>
      </w:r>
      <w:r>
        <w:rPr>
          <w:rFonts w:eastAsia="仿宋_GB2312"/>
          <w:b/>
          <w:bCs/>
          <w:color w:val="000000"/>
          <w:kern w:val="0"/>
          <w:sz w:val="32"/>
          <w:szCs w:val="32"/>
        </w:rPr>
        <w:t>A4</w:t>
      </w:r>
      <w:r>
        <w:rPr>
          <w:rFonts w:ascii="仿宋_GB2312" w:eastAsia="仿宋_GB2312"/>
          <w:b/>
          <w:bCs/>
          <w:color w:val="000000"/>
          <w:kern w:val="0"/>
          <w:sz w:val="32"/>
          <w:szCs w:val="32"/>
        </w:rPr>
        <w:t>纸张双面打印、胶装成册</w:t>
      </w:r>
      <w:r>
        <w:rPr>
          <w:rFonts w:hint="eastAsia" w:ascii="仿宋_GB2312" w:eastAsia="仿宋_GB2312"/>
          <w:b/>
          <w:bCs/>
          <w:color w:val="000000"/>
          <w:kern w:val="0"/>
          <w:sz w:val="32"/>
          <w:szCs w:val="32"/>
        </w:rPr>
        <w:t>，书脊处标注专项名称、项目单位和项目名称。</w:t>
      </w:r>
    </w:p>
    <w:p>
      <w:pPr>
        <w:pStyle w:val="4"/>
        <w:keepNext w:val="0"/>
        <w:keepLines w:val="0"/>
        <w:pageBreakBefore w:val="0"/>
        <w:kinsoku/>
        <w:wordWrap/>
        <w:overflowPunct/>
        <w:topLinePunct w:val="0"/>
        <w:autoSpaceDN/>
        <w:bidi w:val="0"/>
        <w:snapToGrid/>
        <w:spacing w:line="560" w:lineRule="exact"/>
        <w:ind w:left="1275" w:firstLine="0" w:firstLineChars="0"/>
        <w:textAlignment w:val="auto"/>
        <w:rPr>
          <w:rFonts w:hint="eastAsia"/>
        </w:rPr>
      </w:pPr>
    </w:p>
    <w:p>
      <w:pPr>
        <w:keepNext w:val="0"/>
        <w:keepLines w:val="0"/>
        <w:pageBreakBefore w:val="0"/>
        <w:widowControl/>
        <w:kinsoku/>
        <w:wordWrap/>
        <w:overflowPunct/>
        <w:topLinePunct w:val="0"/>
        <w:autoSpaceDE/>
        <w:autoSpaceDN/>
        <w:bidi w:val="0"/>
        <w:adjustRightInd/>
        <w:snapToGrid/>
        <w:spacing w:line="560" w:lineRule="exact"/>
        <w:ind w:left="1598" w:leftChars="304" w:hanging="960" w:hangingChars="3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sz w:val="32"/>
          <w:szCs w:val="32"/>
        </w:rPr>
        <w:t>.2024年广东省制造业当家重点任务保障专项企业技术改造资金（技改金融政策）项目库申请报告（封面）</w:t>
      </w:r>
    </w:p>
    <w:p>
      <w:pPr>
        <w:pStyle w:val="3"/>
        <w:keepNext w:val="0"/>
        <w:keepLines w:val="0"/>
        <w:pageBreakBefore w:val="0"/>
        <w:kinsoku/>
        <w:wordWrap/>
        <w:overflowPunct/>
        <w:topLinePunct w:val="0"/>
        <w:autoSpaceDE/>
        <w:autoSpaceDN/>
        <w:bidi w:val="0"/>
        <w:snapToGrid/>
        <w:spacing w:after="0" w:line="560" w:lineRule="exact"/>
        <w:ind w:left="1596" w:leftChars="760" w:firstLine="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.2024年广东省制造业当家重点任务保障专项企业技术改造资金（技改金融政策）项目申请表</w:t>
      </w:r>
    </w:p>
    <w:p>
      <w:pPr>
        <w:pStyle w:val="3"/>
        <w:keepNext w:val="0"/>
        <w:keepLines w:val="0"/>
        <w:pageBreakBefore w:val="0"/>
        <w:kinsoku/>
        <w:wordWrap/>
        <w:overflowPunct/>
        <w:topLinePunct w:val="0"/>
        <w:autoSpaceDE/>
        <w:autoSpaceDN/>
        <w:bidi w:val="0"/>
        <w:snapToGrid/>
        <w:spacing w:after="0" w:line="560" w:lineRule="exact"/>
        <w:ind w:left="1596" w:leftChars="760" w:firstLine="0" w:firstLineChars="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.环评、节能审查、安评及安全生产验收、施工许可有关情况说明书</w:t>
      </w:r>
    </w:p>
    <w:p>
      <w:pPr>
        <w:pStyle w:val="3"/>
        <w:keepNext w:val="0"/>
        <w:keepLines w:val="0"/>
        <w:pageBreakBefore w:val="0"/>
        <w:kinsoku/>
        <w:wordWrap/>
        <w:overflowPunct/>
        <w:topLinePunct w:val="0"/>
        <w:autoSpaceDE/>
        <w:autoSpaceDN/>
        <w:bidi w:val="0"/>
        <w:snapToGrid/>
        <w:spacing w:after="0" w:line="560" w:lineRule="exact"/>
        <w:ind w:left="1596" w:leftChars="760" w:firstLine="0" w:firstLineChars="0"/>
        <w:textAlignment w:val="auto"/>
      </w:pPr>
      <w:r>
        <w:rPr>
          <w:rFonts w:hint="eastAsia" w:ascii="仿宋_GB2312" w:hAnsi="仿宋_GB2312" w:eastAsia="仿宋_GB2312" w:cs="仿宋_GB2312"/>
          <w:sz w:val="32"/>
          <w:szCs w:val="32"/>
          <w:lang w:val="en-US" w:eastAsia="zh-CN"/>
        </w:rPr>
        <w:t>2-4</w:t>
      </w:r>
      <w:r>
        <w:rPr>
          <w:rFonts w:hint="eastAsia" w:ascii="仿宋_GB2312" w:hAnsi="仿宋_GB2312" w:eastAsia="仿宋_GB2312" w:cs="仿宋_GB2312"/>
          <w:sz w:val="32"/>
          <w:szCs w:val="32"/>
        </w:rPr>
        <w:t>.2024年广东省制造业当家重点任务保障专项企业技术改造资金（技改金融政策）（银行贷款贴息方式）项目借款明细表</w:t>
      </w:r>
    </w:p>
    <w:p>
      <w:pPr>
        <w:pStyle w:val="4"/>
        <w:keepNext w:val="0"/>
        <w:keepLines w:val="0"/>
        <w:pageBreakBefore w:val="0"/>
        <w:kinsoku/>
        <w:wordWrap/>
        <w:overflowPunct/>
        <w:topLinePunct w:val="0"/>
        <w:autoSpaceDE/>
        <w:autoSpaceDN/>
        <w:bidi w:val="0"/>
        <w:snapToGrid/>
        <w:spacing w:after="0" w:line="560" w:lineRule="exact"/>
        <w:ind w:left="1680" w:leftChars="200" w:hanging="1260" w:hangingChars="600"/>
        <w:textAlignment w:val="auto"/>
        <w:rPr>
          <w:rFonts w:ascii="仿宋_GB2312" w:hAnsi="仿宋_GB2312" w:eastAsia="仿宋_GB2312" w:cs="仿宋_GB2312"/>
          <w:sz w:val="32"/>
          <w:szCs w:val="32"/>
        </w:rPr>
      </w:pPr>
      <w:r>
        <w:rPr>
          <w:rFonts w:hint="eastAsia"/>
        </w:rPr>
        <w:t xml:space="preserve">           </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.2024年广东省制造业当家重点任务保障专项企业技术改造资金（技改金融政策）（保险增信补贴方式）项目保费明细表</w:t>
      </w:r>
    </w:p>
    <w:p>
      <w:pPr>
        <w:pStyle w:val="4"/>
        <w:keepNext w:val="0"/>
        <w:keepLines w:val="0"/>
        <w:pageBreakBefore w:val="0"/>
        <w:kinsoku/>
        <w:wordWrap/>
        <w:overflowPunct/>
        <w:topLinePunct w:val="0"/>
        <w:autoSpaceDE/>
        <w:autoSpaceDN/>
        <w:bidi w:val="0"/>
        <w:snapToGrid/>
        <w:spacing w:after="0" w:line="560" w:lineRule="exact"/>
        <w:ind w:left="1596" w:leftChars="760" w:firstLine="0" w:firstLineChars="0"/>
        <w:textAlignment w:val="auto"/>
        <w:rPr>
          <w:rFonts w:ascii="仿宋_GB2312" w:hAnsi="仿宋_GB2312" w:eastAsia="仿宋_GB2312" w:cs="仿宋_GB2312"/>
          <w:kern w:val="2"/>
          <w:sz w:val="32"/>
          <w:szCs w:val="32"/>
        </w:rPr>
      </w:pPr>
      <w:r>
        <w:rPr>
          <w:rFonts w:hint="eastAsia" w:ascii="仿宋_GB2312" w:hAnsi="仿宋_GB2312" w:eastAsia="仿宋_GB2312" w:cs="仿宋_GB2312"/>
          <w:sz w:val="32"/>
          <w:szCs w:val="32"/>
          <w:lang w:val="en-US" w:eastAsia="zh-CN"/>
        </w:rPr>
        <w:t>2-6</w:t>
      </w:r>
      <w:r>
        <w:rPr>
          <w:rFonts w:hint="eastAsia" w:ascii="仿宋_GB2312" w:hAnsi="仿宋_GB2312" w:eastAsia="仿宋_GB2312" w:cs="仿宋_GB2312"/>
          <w:sz w:val="32"/>
          <w:szCs w:val="32"/>
        </w:rPr>
        <w:t>.2024年广东省制造业当家重点任务保障专项企业技术改造资金（技改金融政策）（融资租赁补</w:t>
      </w:r>
      <w:r>
        <w:rPr>
          <w:rFonts w:hint="eastAsia" w:ascii="仿宋_GB2312" w:hAnsi="仿宋_GB2312" w:eastAsia="仿宋_GB2312" w:cs="仿宋_GB2312"/>
          <w:kern w:val="2"/>
          <w:sz w:val="32"/>
          <w:szCs w:val="32"/>
        </w:rPr>
        <w:t>贴方式）项目融资租赁款明细表</w:t>
      </w:r>
    </w:p>
    <w:p>
      <w:pPr>
        <w:pStyle w:val="4"/>
        <w:keepNext w:val="0"/>
        <w:keepLines w:val="0"/>
        <w:pageBreakBefore w:val="0"/>
        <w:kinsoku/>
        <w:wordWrap/>
        <w:overflowPunct/>
        <w:topLinePunct w:val="0"/>
        <w:autoSpaceDE/>
        <w:autoSpaceDN/>
        <w:bidi w:val="0"/>
        <w:snapToGrid/>
        <w:spacing w:after="0" w:line="560" w:lineRule="exact"/>
        <w:ind w:left="1596" w:leftChars="760" w:firstLine="0" w:firstLineChars="0"/>
        <w:textAlignment w:val="auto"/>
        <w:rPr>
          <w:rFonts w:ascii="仿宋_GB2312" w:hAnsi="仿宋_GB2312" w:eastAsia="仿宋_GB2312" w:cs="仿宋_GB2312"/>
          <w:kern w:val="2"/>
          <w:sz w:val="32"/>
          <w:szCs w:val="32"/>
        </w:rPr>
      </w:pP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kern w:val="2"/>
          <w:sz w:val="32"/>
          <w:szCs w:val="32"/>
        </w:rPr>
        <w:t>.2024年广东省制造业当家重点任务保障专项企业技术改造资金（技改金融政策）项目申报承</w:t>
      </w:r>
      <w:bookmarkStart w:id="0" w:name="_GoBack"/>
      <w:bookmarkEnd w:id="0"/>
      <w:r>
        <w:rPr>
          <w:rFonts w:hint="eastAsia" w:ascii="仿宋_GB2312" w:hAnsi="仿宋_GB2312" w:eastAsia="仿宋_GB2312" w:cs="仿宋_GB2312"/>
          <w:kern w:val="2"/>
          <w:sz w:val="32"/>
          <w:szCs w:val="32"/>
        </w:rPr>
        <w:t>诺书</w:t>
      </w:r>
    </w:p>
    <w:p>
      <w:pPr>
        <w:keepNext w:val="0"/>
        <w:keepLines w:val="0"/>
        <w:pageBreakBefore w:val="0"/>
        <w:kinsoku/>
        <w:wordWrap/>
        <w:overflowPunct/>
        <w:topLinePunct w:val="0"/>
        <w:autoSpaceDN/>
        <w:bidi w:val="0"/>
        <w:snapToGrid/>
        <w:spacing w:line="560" w:lineRule="exact"/>
        <w:ind w:left="1596" w:leftChars="760" w:firstLine="0" w:firstLineChars="0"/>
        <w:jc w:val="left"/>
        <w:textAlignment w:val="auto"/>
        <w:rPr>
          <w:rFonts w:eastAsia="楷体_GB2312"/>
          <w:sz w:val="32"/>
          <w:szCs w:val="32"/>
        </w:rPr>
      </w:pPr>
      <w:r>
        <w:rPr>
          <w:rFonts w:hint="eastAsia" w:ascii="仿宋_GB2312" w:hAnsi="仿宋_GB2312" w:eastAsia="仿宋_GB2312" w:cs="仿宋_GB2312"/>
          <w:sz w:val="32"/>
          <w:szCs w:val="32"/>
          <w:lang w:val="en-US" w:eastAsia="zh-CN"/>
        </w:rPr>
        <w:t>2-8</w:t>
      </w:r>
      <w:r>
        <w:rPr>
          <w:rFonts w:hint="eastAsia" w:ascii="仿宋_GB2312" w:hAnsi="仿宋_GB2312" w:eastAsia="仿宋_GB2312" w:cs="仿宋_GB2312"/>
          <w:sz w:val="32"/>
          <w:szCs w:val="32"/>
        </w:rPr>
        <w:t>.“信用中国（广东）”网站无违法违规证明公共信用信息报告操作指引</w:t>
      </w:r>
    </w:p>
    <w:sectPr>
      <w:pgSz w:w="11906" w:h="16838"/>
      <w:pgMar w:top="1440" w:right="1803" w:bottom="1440" w:left="180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楷体_GB2312">
    <w:altName w:val="微软雅黑"/>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A4E4659"/>
    <w:multiLevelType w:val="multilevel"/>
    <w:tmpl w:val="4A4E4659"/>
    <w:lvl w:ilvl="0" w:tentative="0">
      <w:start w:val="1"/>
      <w:numFmt w:val="japaneseCounting"/>
      <w:lvlText w:val="%1、"/>
      <w:lvlJc w:val="left"/>
      <w:pPr>
        <w:ind w:left="1275" w:hanging="645"/>
      </w:pPr>
      <w:rPr>
        <w:rFonts w:hint="default"/>
      </w:rPr>
    </w:lvl>
    <w:lvl w:ilvl="1" w:tentative="0">
      <w:start w:val="1"/>
      <w:numFmt w:val="lowerLetter"/>
      <w:lvlText w:val="%2)"/>
      <w:lvlJc w:val="left"/>
      <w:pPr>
        <w:ind w:left="1510" w:hanging="440"/>
      </w:pPr>
    </w:lvl>
    <w:lvl w:ilvl="2" w:tentative="0">
      <w:start w:val="1"/>
      <w:numFmt w:val="lowerRoman"/>
      <w:lvlText w:val="%3."/>
      <w:lvlJc w:val="right"/>
      <w:pPr>
        <w:ind w:left="1950" w:hanging="440"/>
      </w:pPr>
    </w:lvl>
    <w:lvl w:ilvl="3" w:tentative="0">
      <w:start w:val="1"/>
      <w:numFmt w:val="decimal"/>
      <w:lvlText w:val="%4."/>
      <w:lvlJc w:val="left"/>
      <w:pPr>
        <w:ind w:left="2390" w:hanging="440"/>
      </w:pPr>
    </w:lvl>
    <w:lvl w:ilvl="4" w:tentative="0">
      <w:start w:val="1"/>
      <w:numFmt w:val="lowerLetter"/>
      <w:lvlText w:val="%5)"/>
      <w:lvlJc w:val="left"/>
      <w:pPr>
        <w:ind w:left="2830" w:hanging="440"/>
      </w:pPr>
    </w:lvl>
    <w:lvl w:ilvl="5" w:tentative="0">
      <w:start w:val="1"/>
      <w:numFmt w:val="lowerRoman"/>
      <w:lvlText w:val="%6."/>
      <w:lvlJc w:val="right"/>
      <w:pPr>
        <w:ind w:left="3270" w:hanging="440"/>
      </w:pPr>
    </w:lvl>
    <w:lvl w:ilvl="6" w:tentative="0">
      <w:start w:val="1"/>
      <w:numFmt w:val="decimal"/>
      <w:lvlText w:val="%7."/>
      <w:lvlJc w:val="left"/>
      <w:pPr>
        <w:ind w:left="3710" w:hanging="440"/>
      </w:pPr>
    </w:lvl>
    <w:lvl w:ilvl="7" w:tentative="0">
      <w:start w:val="1"/>
      <w:numFmt w:val="lowerLetter"/>
      <w:lvlText w:val="%8)"/>
      <w:lvlJc w:val="left"/>
      <w:pPr>
        <w:ind w:left="4150" w:hanging="440"/>
      </w:pPr>
    </w:lvl>
    <w:lvl w:ilvl="8" w:tentative="0">
      <w:start w:val="1"/>
      <w:numFmt w:val="lowerRoman"/>
      <w:lvlText w:val="%9."/>
      <w:lvlJc w:val="right"/>
      <w:pPr>
        <w:ind w:left="459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true"/>
  <w:bordersDoNotSurroundFooter w:val="true"/>
  <w:doNotTrackMoves/>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jZWE4YzlmNzNhYTFkMDdjN2I1NTM3MGMwMjA1MTUifQ=="/>
  </w:docVars>
  <w:rsids>
    <w:rsidRoot w:val="5EEF4C86"/>
    <w:rsid w:val="00034493"/>
    <w:rsid w:val="00083B09"/>
    <w:rsid w:val="00270882"/>
    <w:rsid w:val="002C61A4"/>
    <w:rsid w:val="00304862"/>
    <w:rsid w:val="0031249E"/>
    <w:rsid w:val="003511E7"/>
    <w:rsid w:val="00405C26"/>
    <w:rsid w:val="009217CD"/>
    <w:rsid w:val="009C250E"/>
    <w:rsid w:val="00B12188"/>
    <w:rsid w:val="00C55996"/>
    <w:rsid w:val="00E636F1"/>
    <w:rsid w:val="00E83E58"/>
    <w:rsid w:val="00EB695F"/>
    <w:rsid w:val="00F00351"/>
    <w:rsid w:val="00F23511"/>
    <w:rsid w:val="01247788"/>
    <w:rsid w:val="01EFCE4A"/>
    <w:rsid w:val="041A2115"/>
    <w:rsid w:val="04E71044"/>
    <w:rsid w:val="06944187"/>
    <w:rsid w:val="0BD7E176"/>
    <w:rsid w:val="0CBA2174"/>
    <w:rsid w:val="0E676889"/>
    <w:rsid w:val="0FBD06CC"/>
    <w:rsid w:val="0FE7648B"/>
    <w:rsid w:val="17BF6D15"/>
    <w:rsid w:val="1CDABFF9"/>
    <w:rsid w:val="1EFF2115"/>
    <w:rsid w:val="1F3F298E"/>
    <w:rsid w:val="1FFC8C05"/>
    <w:rsid w:val="1FFD3E97"/>
    <w:rsid w:val="249B0281"/>
    <w:rsid w:val="25DD22EE"/>
    <w:rsid w:val="2BFFDD69"/>
    <w:rsid w:val="2CAC3430"/>
    <w:rsid w:val="2E6F2A7E"/>
    <w:rsid w:val="2F6EFC0E"/>
    <w:rsid w:val="31FF5B8B"/>
    <w:rsid w:val="335AEDC8"/>
    <w:rsid w:val="33F6382D"/>
    <w:rsid w:val="35B7BB54"/>
    <w:rsid w:val="379B6818"/>
    <w:rsid w:val="37EEC0C4"/>
    <w:rsid w:val="3BBE5A43"/>
    <w:rsid w:val="3DDDC18D"/>
    <w:rsid w:val="3DDDE0C6"/>
    <w:rsid w:val="3DF78010"/>
    <w:rsid w:val="3EEF5BEC"/>
    <w:rsid w:val="3FDBDDD4"/>
    <w:rsid w:val="3FE398CD"/>
    <w:rsid w:val="4DBD6477"/>
    <w:rsid w:val="4EFFE50A"/>
    <w:rsid w:val="4F7636FD"/>
    <w:rsid w:val="4FCF4BB0"/>
    <w:rsid w:val="50CA4969"/>
    <w:rsid w:val="55E55DA1"/>
    <w:rsid w:val="56DF0997"/>
    <w:rsid w:val="597BE234"/>
    <w:rsid w:val="5CFBE818"/>
    <w:rsid w:val="5E7DE891"/>
    <w:rsid w:val="5EEF4C86"/>
    <w:rsid w:val="5F5F8B16"/>
    <w:rsid w:val="5F7EF289"/>
    <w:rsid w:val="5FBDF2B4"/>
    <w:rsid w:val="5FD9E7A3"/>
    <w:rsid w:val="5FE62D63"/>
    <w:rsid w:val="63402869"/>
    <w:rsid w:val="64D70BC0"/>
    <w:rsid w:val="65F7C21E"/>
    <w:rsid w:val="68A7A27C"/>
    <w:rsid w:val="6BAFF14E"/>
    <w:rsid w:val="6BFD84B0"/>
    <w:rsid w:val="6CDDEF54"/>
    <w:rsid w:val="6E7F2FA7"/>
    <w:rsid w:val="6EF5DC45"/>
    <w:rsid w:val="6F39C427"/>
    <w:rsid w:val="6F7BE35E"/>
    <w:rsid w:val="6F7FC0AD"/>
    <w:rsid w:val="6FED76F6"/>
    <w:rsid w:val="6FFB1ABC"/>
    <w:rsid w:val="6FFF17AE"/>
    <w:rsid w:val="70D70377"/>
    <w:rsid w:val="73CF5FCE"/>
    <w:rsid w:val="75AA6B8C"/>
    <w:rsid w:val="76DFA66E"/>
    <w:rsid w:val="773CAAA7"/>
    <w:rsid w:val="778815AF"/>
    <w:rsid w:val="77AB4CB5"/>
    <w:rsid w:val="79F452DB"/>
    <w:rsid w:val="7AFD3B74"/>
    <w:rsid w:val="7BDF6BF4"/>
    <w:rsid w:val="7BFDDA9F"/>
    <w:rsid w:val="7C9E37D0"/>
    <w:rsid w:val="7CED32CC"/>
    <w:rsid w:val="7DBE1BE6"/>
    <w:rsid w:val="7DFDE5DF"/>
    <w:rsid w:val="7DFEEFC2"/>
    <w:rsid w:val="7EAFCF4F"/>
    <w:rsid w:val="7EB3A9E3"/>
    <w:rsid w:val="7ECB88D6"/>
    <w:rsid w:val="7EEE778F"/>
    <w:rsid w:val="7EEF5FCD"/>
    <w:rsid w:val="7EFE8EE2"/>
    <w:rsid w:val="7F1FA33B"/>
    <w:rsid w:val="7F27CEE4"/>
    <w:rsid w:val="7F7B6D79"/>
    <w:rsid w:val="7FA8D023"/>
    <w:rsid w:val="7FB7A140"/>
    <w:rsid w:val="7FBD2A5A"/>
    <w:rsid w:val="7FBD63FC"/>
    <w:rsid w:val="7FBF4CD5"/>
    <w:rsid w:val="7FD2A57A"/>
    <w:rsid w:val="7FD9B3ED"/>
    <w:rsid w:val="7FDD1BDE"/>
    <w:rsid w:val="7FDEBE6E"/>
    <w:rsid w:val="7FDF7060"/>
    <w:rsid w:val="7FF1C232"/>
    <w:rsid w:val="7FF509B3"/>
    <w:rsid w:val="7FFA8460"/>
    <w:rsid w:val="7FFD31F8"/>
    <w:rsid w:val="7FFE2F2F"/>
    <w:rsid w:val="7FFE4A15"/>
    <w:rsid w:val="7FFE5F35"/>
    <w:rsid w:val="7FFEE59B"/>
    <w:rsid w:val="8F740FF0"/>
    <w:rsid w:val="93BE8EC3"/>
    <w:rsid w:val="95EB4E82"/>
    <w:rsid w:val="9F9F7ACD"/>
    <w:rsid w:val="AB7F2E2A"/>
    <w:rsid w:val="ADFF730C"/>
    <w:rsid w:val="AEFD9214"/>
    <w:rsid w:val="AFFF9D85"/>
    <w:rsid w:val="AFFFADA1"/>
    <w:rsid w:val="B6FFAF39"/>
    <w:rsid w:val="B70F6048"/>
    <w:rsid w:val="B7F7CDF7"/>
    <w:rsid w:val="BDE221FE"/>
    <w:rsid w:val="BE6E6CA7"/>
    <w:rsid w:val="BEFC77CA"/>
    <w:rsid w:val="BFBFE7EF"/>
    <w:rsid w:val="BFFF55B9"/>
    <w:rsid w:val="CA7C3BE8"/>
    <w:rsid w:val="CFBBC7ED"/>
    <w:rsid w:val="D5B0E372"/>
    <w:rsid w:val="D67F5BF7"/>
    <w:rsid w:val="D7FF7C76"/>
    <w:rsid w:val="D9BA6AEE"/>
    <w:rsid w:val="D9EFD592"/>
    <w:rsid w:val="DBD7C4FA"/>
    <w:rsid w:val="DDABCE13"/>
    <w:rsid w:val="DF3F61D1"/>
    <w:rsid w:val="DF7FC0A9"/>
    <w:rsid w:val="DFBB5867"/>
    <w:rsid w:val="DFDB45F0"/>
    <w:rsid w:val="E2FA6739"/>
    <w:rsid w:val="E3BFECD2"/>
    <w:rsid w:val="E6DEB999"/>
    <w:rsid w:val="E784C0E5"/>
    <w:rsid w:val="E9AF566C"/>
    <w:rsid w:val="EA7E1091"/>
    <w:rsid w:val="EBF5B3FC"/>
    <w:rsid w:val="ED5794CC"/>
    <w:rsid w:val="EDAF412A"/>
    <w:rsid w:val="EF9F8526"/>
    <w:rsid w:val="EFFB81BF"/>
    <w:rsid w:val="EFFFD660"/>
    <w:rsid w:val="EFFFE19D"/>
    <w:rsid w:val="F0BC3B02"/>
    <w:rsid w:val="F1CC1D80"/>
    <w:rsid w:val="F3E28E79"/>
    <w:rsid w:val="F3EC56B6"/>
    <w:rsid w:val="F3FA84D6"/>
    <w:rsid w:val="F46FBB2A"/>
    <w:rsid w:val="F4F9014E"/>
    <w:rsid w:val="F4FF0AA1"/>
    <w:rsid w:val="F5D7BFC2"/>
    <w:rsid w:val="F6C7BB64"/>
    <w:rsid w:val="F6FC17DE"/>
    <w:rsid w:val="F6FD5511"/>
    <w:rsid w:val="F71716FA"/>
    <w:rsid w:val="F75FF361"/>
    <w:rsid w:val="FAB6EE87"/>
    <w:rsid w:val="FAFB4736"/>
    <w:rsid w:val="FB5F1429"/>
    <w:rsid w:val="FBAC31D4"/>
    <w:rsid w:val="FBB692CE"/>
    <w:rsid w:val="FBFE7968"/>
    <w:rsid w:val="FBFF546E"/>
    <w:rsid w:val="FCD96133"/>
    <w:rsid w:val="FD6FBF9C"/>
    <w:rsid w:val="FDF3C26D"/>
    <w:rsid w:val="FE0FB6DA"/>
    <w:rsid w:val="FE3FFBF7"/>
    <w:rsid w:val="FE6540A8"/>
    <w:rsid w:val="FE7D074D"/>
    <w:rsid w:val="FEA7C05A"/>
    <w:rsid w:val="FEFF404E"/>
    <w:rsid w:val="FF5B3189"/>
    <w:rsid w:val="FFB1F2E5"/>
    <w:rsid w:val="FFB39C91"/>
    <w:rsid w:val="FFDB488F"/>
    <w:rsid w:val="FFDE5D6F"/>
    <w:rsid w:val="FFDF4BAB"/>
    <w:rsid w:val="FFEF63D6"/>
    <w:rsid w:val="FFF336F2"/>
    <w:rsid w:val="FFF7A917"/>
    <w:rsid w:val="FFF9C56C"/>
    <w:rsid w:val="FFFABB8B"/>
    <w:rsid w:val="FFFADA16"/>
    <w:rsid w:val="FFFBEAC9"/>
    <w:rsid w:val="FFFC72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after="64" w:line="317" w:lineRule="auto"/>
      <w:outlineLvl w:val="5"/>
    </w:pPr>
    <w:rPr>
      <w:rFonts w:ascii="Arial" w:hAnsi="Arial" w:eastAsia="黑体"/>
      <w:b/>
      <w:bCs/>
      <w:sz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pPr>
      <w:spacing w:after="120"/>
    </w:pPr>
  </w:style>
  <w:style w:type="paragraph" w:styleId="4">
    <w:name w:val="Body Text First Indent"/>
    <w:basedOn w:val="3"/>
    <w:unhideWhenUsed/>
    <w:qFormat/>
    <w:uiPriority w:val="0"/>
    <w:pPr>
      <w:widowControl/>
      <w:tabs>
        <w:tab w:val="left" w:pos="567"/>
      </w:tabs>
      <w:ind w:firstLine="200" w:firstLineChars="200"/>
      <w:jc w:val="left"/>
    </w:pPr>
    <w:rPr>
      <w:kern w:val="0"/>
      <w:szCs w:val="20"/>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jc w:val="left"/>
    </w:pPr>
    <w:rPr>
      <w:rFonts w:ascii="宋体" w:hAnsi="宋体"/>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脚 字符"/>
    <w:link w:val="5"/>
    <w:qFormat/>
    <w:uiPriority w:val="0"/>
    <w:rPr>
      <w:rFonts w:ascii="Times New Roman" w:hAnsi="Times New Roman"/>
      <w:kern w:val="2"/>
      <w:sz w:val="18"/>
      <w:szCs w:val="18"/>
    </w:rPr>
  </w:style>
  <w:style w:type="character" w:customStyle="1" w:styleId="12">
    <w:name w:val="页眉 字符"/>
    <w:link w:val="6"/>
    <w:qFormat/>
    <w:uiPriority w:val="0"/>
    <w:rPr>
      <w:rFonts w:ascii="Times New Roman" w:hAnsi="Times New Roman"/>
      <w:kern w:val="2"/>
      <w:sz w:val="18"/>
      <w:szCs w:val="18"/>
    </w:rPr>
  </w:style>
  <w:style w:type="table" w:customStyle="1" w:styleId="13">
    <w:name w:val="Table Normal"/>
    <w:unhideWhenUsed/>
    <w:qFormat/>
    <w:uiPriority w:val="0"/>
    <w:tblPr>
      <w:tblCellMar>
        <w:top w:w="0" w:type="dxa"/>
        <w:left w:w="0" w:type="dxa"/>
        <w:bottom w:w="0" w:type="dxa"/>
        <w:right w:w="0" w:type="dxa"/>
      </w:tblCellMar>
    </w:tblPr>
  </w:style>
  <w:style w:type="paragraph" w:customStyle="1" w:styleId="14">
    <w:name w:val="普通 (Web)"/>
    <w:basedOn w:val="1"/>
    <w:qFormat/>
    <w:uiPriority w:val="0"/>
    <w:pPr>
      <w:widowControl/>
      <w:spacing w:before="102" w:after="102" w:line="600" w:lineRule="atLeast"/>
      <w:ind w:firstLine="419"/>
      <w:jc w:val="left"/>
      <w:textAlignment w:val="baseline"/>
    </w:pPr>
    <w:rPr>
      <w:rFonts w:ascii="宋体"/>
      <w:color w:val="000000"/>
      <w:kern w:val="0"/>
      <w:sz w:val="24"/>
      <w:szCs w:val="20"/>
    </w:rPr>
  </w:style>
  <w:style w:type="character" w:customStyle="1" w:styleId="15">
    <w:name w:val="font11"/>
    <w:qFormat/>
    <w:uiPriority w:val="0"/>
    <w:rPr>
      <w:rFonts w:hint="eastAsia" w:ascii="宋体" w:hAnsi="宋体" w:eastAsia="宋体" w:cs="宋体"/>
      <w:b/>
      <w:color w:val="000000"/>
      <w:sz w:val="24"/>
      <w:szCs w:val="24"/>
      <w:u w:val="none"/>
    </w:rPr>
  </w:style>
  <w:style w:type="paragraph" w:customStyle="1" w:styleId="16">
    <w:name w:val="Revision"/>
    <w:hidden/>
    <w:unhideWhenUsed/>
    <w:qFormat/>
    <w:uiPriority w:val="99"/>
    <w:rPr>
      <w:rFonts w:ascii="Times New Roman" w:hAnsi="Times New Roman" w:eastAsia="宋体" w:cs="Times New Roman"/>
      <w:kern w:val="2"/>
      <w:sz w:val="21"/>
      <w:szCs w:val="24"/>
      <w:lang w:val="en-US" w:eastAsia="zh-CN" w:bidi="ar-SA"/>
    </w:rPr>
  </w:style>
  <w:style w:type="paragraph" w:customStyle="1" w:styleId="17">
    <w:name w:val="p0"/>
    <w:basedOn w:val="1"/>
    <w:qFormat/>
    <w:uiPriority w:val="0"/>
    <w:pPr>
      <w:widowControl/>
    </w:pPr>
    <w:rPr>
      <w:kern w:val="0"/>
      <w:szCs w:val="21"/>
    </w:rPr>
  </w:style>
  <w:style w:type="paragraph" w:customStyle="1" w:styleId="18">
    <w:name w:val="Normal"/>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3883</Words>
  <Characters>4073</Characters>
  <Lines>30</Lines>
  <Paragraphs>8</Paragraphs>
  <TotalTime>7</TotalTime>
  <ScaleCrop>false</ScaleCrop>
  <LinksUpToDate>false</LinksUpToDate>
  <CharactersWithSpaces>4114</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2023-04-28T22:03:00Z</dcterms:created>
  <dc:creator>叶斯娜</dc:creator>
  <cp:lastModifiedBy>叶斯娜</cp:lastModifiedBy>
  <cp:lastPrinted>2024-05-06T09:17:00Z</cp:lastPrinted>
  <dcterms:modified xsi:type="dcterms:W3CDTF">2024-06-27T13:17:08Z</dcterms:modified>
  <dc:title>附件2</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975D790FB1974ED259CE7866FA67D71E</vt:lpwstr>
  </property>
</Properties>
</file>