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sz w:val="32"/>
          <w:szCs w:val="32"/>
        </w:rPr>
      </w:pPr>
      <w:r>
        <w:rPr>
          <w:sz w:val="32"/>
          <w:szCs w:val="32"/>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2573655</wp:posOffset>
                </wp:positionV>
                <wp:extent cx="5255895" cy="13315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55895" cy="1331595"/>
                        </a:xfrm>
                        <a:prstGeom prst="rect">
                          <a:avLst/>
                        </a:prstGeom>
                        <a:noFill/>
                        <a:ln>
                          <a:noFill/>
                        </a:ln>
                        <a:effectLst/>
                      </wps:spPr>
                      <wps:txbx>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wps:txbx>
                      <wps:bodyPr vert="horz" lIns="0" tIns="0" rIns="0" bIns="0" anchor="t" anchorCtr="0" upright="1"/>
                    </wps:wsp>
                  </a:graphicData>
                </a:graphic>
              </wp:anchor>
            </w:drawing>
          </mc:Choice>
          <mc:Fallback>
            <w:pict>
              <v:shape id="_x0000_s1026" o:spid="_x0000_s1026" o:spt="202" type="#_x0000_t202" style="position:absolute;left:0pt;margin-top:202.65pt;height:104.85pt;width:413.85pt;mso-position-horizontal:center;mso-position-vertical-relative:page;z-index:-251657216;mso-width-relative:page;mso-height-relative:page;" filled="f" stroked="f" coordsize="21600,21600" o:gfxdata="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UcNz7YAAAACAEAAA8AAAAAAAAAAQAg&#10;AAAAIgAAAGRycy9kb3ducmV2LnhtbFBLAQIUABQAAAAIAIdO4kBd0dk91QEAAKYDAAAOAAAAAAAA&#10;AAEAIAAAACcBAABkcnMvZTJvRG9jLnhtbFBLBQYAAAAABgAGAFkBAABuBQAAAAA=&#10;">
                <v:fill on="f" focussize="0,0"/>
                <v:stroke on="f"/>
                <v:imagedata o:title=""/>
                <o:lock v:ext="edit" aspectratio="f"/>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mc:Fallback>
        </mc:AlternateContent>
      </w:r>
    </w:p>
    <w:p>
      <w:pPr>
        <w:keepNext w:val="0"/>
        <w:keepLines w:val="0"/>
        <w:pageBreakBefore w:val="0"/>
        <w:widowControl w:val="0"/>
        <w:tabs>
          <w:tab w:val="left" w:pos="2212"/>
        </w:tabs>
        <w:kinsoku/>
        <w:wordWrap/>
        <w:overflowPunct/>
        <w:topLinePunct w:val="0"/>
        <w:autoSpaceDE/>
        <w:autoSpaceDN/>
        <w:bidi w:val="0"/>
        <w:adjustRightInd/>
        <w:snapToGrid/>
        <w:spacing w:line="42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新农农〔202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黑体" w:eastAsia="方正小标宋简体" w:cs="宋体"/>
          <w:sz w:val="44"/>
          <w:szCs w:val="44"/>
        </w:rPr>
      </w:pPr>
      <w:r>
        <w:rPr>
          <w:sz w:val="32"/>
          <w:szCs w:val="32"/>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1332230</wp:posOffset>
                </wp:positionV>
                <wp:extent cx="800100" cy="288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0100" cy="288290"/>
                        </a:xfrm>
                        <a:prstGeom prst="rect">
                          <a:avLst/>
                        </a:prstGeom>
                        <a:noFill/>
                        <a:ln>
                          <a:noFill/>
                        </a:ln>
                        <a:effectLst/>
                      </wps:spPr>
                      <wps:txbx>
                        <w:txbxContent>
                          <w:p>
                            <w:pPr>
                              <w:rPr>
                                <w:rFonts w:ascii="黑体" w:hAnsi="黑体" w:eastAsia="黑体"/>
                                <w:szCs w:val="32"/>
                              </w:rPr>
                            </w:pPr>
                          </w:p>
                        </w:txbxContent>
                      </wps:txbx>
                      <wps:bodyPr vert="horz" lIns="0" tIns="0" rIns="0" bIns="0" anchor="t" anchorCtr="0" upright="1"/>
                    </wps:wsp>
                  </a:graphicData>
                </a:graphic>
              </wp:anchor>
            </w:drawing>
          </mc:Choice>
          <mc:Fallback>
            <w:pict>
              <v:shape id="_x0000_s1026" o:spid="_x0000_s1026" o:spt="202" type="#_x0000_t202" style="position:absolute;left:0pt;margin-left:-0.05pt;margin-top:104.9pt;height:22.7pt;width:63pt;mso-position-vertical-relative:page;z-index:251660288;mso-width-relative:page;mso-height-relative:page;" filled="f" stroked="f" coordsize="21600,21600" o:gfxdata="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SqOm1wAAAAkBAAAPAAAAAAAAAAEAIAAAACIA&#10;AABkcnMvZG93bnJldi54bWxQSwECFAAUAAAACACHTuJAyd68/NEBAACkAwAADgAAAAAAAAABACAA&#10;AAAmAQAAZHJzL2Uyb0RvYy54bWxQSwUGAAAAAAYABgBZAQAAaQUAAAAA&#10;">
                <v:fill on="f" focussize="0,0"/>
                <v:stroke on="f"/>
                <v:imagedata o:title=""/>
                <o:lock v:ext="edit" aspectratio="f"/>
                <v:textbox inset="0mm,0mm,0mm,0mm">
                  <w:txbxContent>
                    <w:p>
                      <w:pPr>
                        <w:rPr>
                          <w:rFonts w:ascii="黑体" w:hAnsi="黑体" w:eastAsia="黑体"/>
                          <w:szCs w:val="32"/>
                        </w:rPr>
                      </w:pPr>
                    </w:p>
                  </w:txbxContent>
                </v:textbox>
                <w10:anchorlock/>
              </v:shape>
            </w:pict>
          </mc:Fallback>
        </mc:AlternateContent>
      </w:r>
      <w:r>
        <w:rPr>
          <w:sz w:val="32"/>
          <w:szCs w:val="32"/>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4349115</wp:posOffset>
                </wp:positionV>
                <wp:extent cx="561594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342.45pt;height:0pt;width:442.2pt;mso-position-vertical-relative:page;z-index:251661312;mso-width-relative:page;mso-height-relative:page;" filled="f" stroked="t" coordsize="21600,21600" o:gfxdata="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qR9EdcAAAAJAQAADwAAAAAAAAABACAAAAAiAAAAZHJzL2Rvd25yZXYu&#10;eG1sUEsBAhQAFAAAAAgAh07iQALuk/v8AQAA8wMAAA4AAAAAAAAAAQAgAAAAJgEAAGRycy9lMm9E&#10;b2MueG1sUEsFBgAAAAAGAAYAWQEAAJQFAAAAAA==&#10;">
                <v:fill on="f" focussize="0,0"/>
                <v:stroke weight="1.25pt" color="#FF0000" joinstyle="round"/>
                <v:imagedata o:title=""/>
                <o:lock v:ext="edit" aspectratio="f"/>
                <w10:anchorlock/>
              </v:line>
            </w:pict>
          </mc:Fallback>
        </mc:AlternateContent>
      </w:r>
    </w:p>
    <w:p>
      <w:pPr>
        <w:widowControl/>
        <w:spacing w:line="58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关于印发《2024年病虫害防控-江门新会区</w:t>
      </w:r>
    </w:p>
    <w:p>
      <w:pPr>
        <w:widowControl/>
        <w:spacing w:line="580" w:lineRule="exact"/>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柑橘黄龙病防控示范项目实施方案》的通知</w:t>
      </w:r>
    </w:p>
    <w:p>
      <w:pPr>
        <w:spacing w:line="560" w:lineRule="exact"/>
        <w:jc w:val="center"/>
        <w:rPr>
          <w:rFonts w:ascii="仿宋_GB2312" w:hAnsi="仿宋" w:eastAsia="仿宋_GB2312"/>
          <w:szCs w:val="32"/>
        </w:rPr>
      </w:pPr>
    </w:p>
    <w:p>
      <w:pPr>
        <w:widowControl/>
        <w:spacing w:line="580" w:lineRule="exac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各镇（街）农业农村办公室：</w:t>
      </w:r>
    </w:p>
    <w:p>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为科学提升综合防控水平，有效控制柑橘黄龙病的发生为害，促进我区柑橘产业可持续发展，综合</w:t>
      </w:r>
      <w:r>
        <w:rPr>
          <w:rFonts w:ascii="仿宋_GB2312" w:hAnsi="仿宋_GB2312" w:eastAsia="仿宋_GB2312" w:cs="仿宋_GB2312"/>
          <w:kern w:val="0"/>
          <w:sz w:val="32"/>
          <w:szCs w:val="32"/>
          <w:lang w:bidi="ar"/>
        </w:rPr>
        <w:t>镇</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街</w:t>
      </w:r>
      <w:r>
        <w:rPr>
          <w:rFonts w:hint="eastAsia" w:ascii="仿宋_GB2312" w:hAnsi="仿宋_GB2312" w:eastAsia="仿宋_GB2312" w:cs="仿宋_GB2312"/>
          <w:kern w:val="0"/>
          <w:sz w:val="32"/>
          <w:szCs w:val="32"/>
          <w:lang w:bidi="ar"/>
        </w:rPr>
        <w:t>）和</w:t>
      </w:r>
      <w:r>
        <w:rPr>
          <w:rFonts w:ascii="仿宋_GB2312" w:hAnsi="仿宋_GB2312" w:eastAsia="仿宋_GB2312" w:cs="仿宋_GB2312"/>
          <w:kern w:val="0"/>
          <w:sz w:val="32"/>
          <w:szCs w:val="32"/>
          <w:lang w:bidi="ar"/>
        </w:rPr>
        <w:t>区有关部门的意见，结合实际，</w:t>
      </w:r>
      <w:r>
        <w:rPr>
          <w:rFonts w:hint="eastAsia" w:ascii="仿宋_GB2312" w:hAnsi="仿宋_GB2312" w:eastAsia="仿宋_GB2312" w:cs="仿宋_GB2312"/>
          <w:kern w:val="0"/>
          <w:sz w:val="32"/>
          <w:szCs w:val="32"/>
          <w:lang w:bidi="ar"/>
        </w:rPr>
        <w:t>我局制定了《2024年病虫害防控-江门新会区柑橘黄龙病防控示范项目实施方案》，</w:t>
      </w:r>
      <w:r>
        <w:rPr>
          <w:rFonts w:ascii="仿宋_GB2312" w:hAnsi="仿宋_GB2312" w:eastAsia="仿宋_GB2312" w:cs="仿宋_GB2312"/>
          <w:kern w:val="0"/>
          <w:sz w:val="32"/>
          <w:szCs w:val="32"/>
          <w:lang w:bidi="ar"/>
        </w:rPr>
        <w:t>现印发给你们，请贯彻执行；并请各镇（街）农办整理好申报资料（包括《方案》中附件1</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及</w:t>
      </w:r>
      <w:r>
        <w:rPr>
          <w:rFonts w:ascii="仿宋_GB2312" w:hAnsi="仿宋_GB2312" w:eastAsia="仿宋_GB2312" w:cs="仿宋_GB2312"/>
          <w:kern w:val="0"/>
          <w:sz w:val="32"/>
          <w:szCs w:val="32"/>
          <w:lang w:bidi="ar"/>
        </w:rPr>
        <w:t>村、镇两级公示图片），于</w:t>
      </w:r>
      <w:r>
        <w:rPr>
          <w:rFonts w:hint="eastAsia" w:ascii="仿宋_GB2312" w:hAnsi="仿宋_GB2312" w:eastAsia="仿宋_GB2312" w:cs="仿宋_GB2312"/>
          <w:kern w:val="0"/>
          <w:sz w:val="32"/>
          <w:szCs w:val="32"/>
          <w:lang w:bidi="ar"/>
        </w:rPr>
        <w:t>8</w:t>
      </w:r>
      <w:r>
        <w:rPr>
          <w:rFonts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bidi="ar"/>
        </w:rPr>
        <w:t>15</w:t>
      </w:r>
      <w:r>
        <w:rPr>
          <w:rFonts w:ascii="仿宋_GB2312" w:hAnsi="仿宋_GB2312" w:eastAsia="仿宋_GB2312" w:cs="仿宋_GB2312"/>
          <w:kern w:val="0"/>
          <w:sz w:val="32"/>
          <w:szCs w:val="32"/>
          <w:lang w:bidi="ar"/>
        </w:rPr>
        <w:t>日前报送至区农业农村局种植业管理股。</w:t>
      </w:r>
    </w:p>
    <w:p>
      <w:pPr>
        <w:widowControl/>
        <w:spacing w:line="580" w:lineRule="exact"/>
        <w:rPr>
          <w:rFonts w:ascii="仿宋_GB2312" w:hAnsi="仿宋_GB2312" w:eastAsia="仿宋_GB2312" w:cs="仿宋_GB2312"/>
          <w:kern w:val="0"/>
          <w:sz w:val="32"/>
          <w:szCs w:val="32"/>
          <w:lang w:bidi="ar"/>
        </w:rPr>
      </w:pPr>
    </w:p>
    <w:p>
      <w:pPr>
        <w:widowControl/>
        <w:spacing w:line="580" w:lineRule="exact"/>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江门市新会区农业农村局</w:t>
      </w:r>
    </w:p>
    <w:p>
      <w:pPr>
        <w:widowControl/>
        <w:spacing w:line="580" w:lineRule="exact"/>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202</w:t>
      </w:r>
      <w:r>
        <w:rPr>
          <w:rFonts w:ascii="仿宋_GB2312" w:hAnsi="仿宋_GB2312" w:eastAsia="仿宋_GB2312" w:cs="仿宋_GB2312"/>
          <w:kern w:val="0"/>
          <w:sz w:val="32"/>
          <w:szCs w:val="32"/>
          <w:lang w:bidi="ar"/>
        </w:rPr>
        <w:t>4</w:t>
      </w:r>
      <w:r>
        <w:rPr>
          <w:rFonts w:hint="eastAsia" w:ascii="仿宋_GB2312" w:hAnsi="仿宋_GB2312" w:eastAsia="仿宋_GB2312" w:cs="仿宋_GB2312"/>
          <w:kern w:val="0"/>
          <w:sz w:val="32"/>
          <w:szCs w:val="32"/>
          <w:lang w:bidi="ar"/>
        </w:rPr>
        <w:t>年</w:t>
      </w: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月</w:t>
      </w:r>
      <w:r>
        <w:rPr>
          <w:rFonts w:ascii="仿宋_GB2312" w:hAnsi="仿宋_GB2312" w:eastAsia="仿宋_GB2312" w:cs="仿宋_GB2312"/>
          <w:kern w:val="0"/>
          <w:sz w:val="32"/>
          <w:szCs w:val="32"/>
          <w:lang w:bidi="ar"/>
        </w:rPr>
        <w:t>23</w:t>
      </w:r>
      <w:r>
        <w:rPr>
          <w:rFonts w:hint="eastAsia" w:ascii="仿宋_GB2312" w:hAnsi="仿宋_GB2312" w:eastAsia="仿宋_GB2312" w:cs="仿宋_GB2312"/>
          <w:kern w:val="0"/>
          <w:sz w:val="32"/>
          <w:szCs w:val="32"/>
          <w:lang w:bidi="ar"/>
        </w:rPr>
        <w:t>日</w:t>
      </w:r>
    </w:p>
    <w:p>
      <w:pPr>
        <w:widowControl/>
        <w:spacing w:line="580" w:lineRule="exact"/>
        <w:ind w:firstLine="640" w:firstLineChars="200"/>
        <w:rPr>
          <w:rFonts w:ascii="仿宋_GB2312" w:hAnsi="仿宋_GB2312" w:eastAsia="仿宋_GB2312" w:cs="仿宋_GB2312"/>
          <w:kern w:val="0"/>
          <w:sz w:val="32"/>
          <w:szCs w:val="32"/>
          <w:lang w:bidi="ar"/>
        </w:rPr>
      </w:pPr>
    </w:p>
    <w:p>
      <w:pPr>
        <w:widowControl/>
        <w:spacing w:line="580" w:lineRule="exact"/>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（联系人：钟振山，联系电话：</w:t>
      </w:r>
      <w:r>
        <w:rPr>
          <w:rFonts w:ascii="仿宋_GB2312" w:hAnsi="仿宋_GB2312" w:eastAsia="仿宋_GB2312" w:cs="仿宋_GB2312"/>
          <w:kern w:val="0"/>
          <w:sz w:val="32"/>
          <w:szCs w:val="32"/>
          <w:lang w:bidi="ar"/>
        </w:rPr>
        <w:t>6373979</w:t>
      </w:r>
      <w:r>
        <w:rPr>
          <w:rFonts w:hint="eastAsia" w:ascii="仿宋_GB2312" w:hAnsi="仿宋_GB2312" w:eastAsia="仿宋_GB2312" w:cs="仿宋_GB2312"/>
          <w:kern w:val="0"/>
          <w:sz w:val="32"/>
          <w:szCs w:val="32"/>
          <w:lang w:bidi="ar"/>
        </w:rPr>
        <w:t>）</w:t>
      </w:r>
    </w:p>
    <w:p>
      <w:pPr>
        <w:widowControl/>
        <w:spacing w:line="580" w:lineRule="exact"/>
        <w:ind w:firstLine="640" w:firstLineChars="200"/>
        <w:rPr>
          <w:rFonts w:ascii="仿宋_GB2312" w:hAnsi="仿宋_GB2312" w:eastAsia="仿宋_GB2312" w:cs="仿宋_GB2312"/>
          <w:kern w:val="0"/>
          <w:sz w:val="32"/>
          <w:szCs w:val="32"/>
          <w:lang w:bidi="ar"/>
        </w:rPr>
      </w:pPr>
    </w:p>
    <w:p>
      <w:pPr>
        <w:pStyle w:val="8"/>
      </w:pPr>
    </w:p>
    <w:p/>
    <w:p>
      <w:pPr>
        <w:pStyle w:val="2"/>
      </w:pPr>
    </w:p>
    <w:p/>
    <w:p>
      <w:pPr>
        <w:pStyle w:val="2"/>
      </w:pPr>
    </w:p>
    <w:p/>
    <w:p>
      <w:pPr>
        <w:pStyle w:val="2"/>
      </w:pPr>
    </w:p>
    <w:p/>
    <w:p>
      <w:pPr>
        <w:pStyle w:val="2"/>
      </w:pPr>
    </w:p>
    <w:p/>
    <w:p>
      <w:pPr>
        <w:pStyle w:val="2"/>
      </w:pPr>
    </w:p>
    <w:p>
      <w:pPr>
        <w:pStyle w:val="2"/>
      </w:pPr>
    </w:p>
    <w:p/>
    <w:p>
      <w:pPr>
        <w:spacing w:line="600" w:lineRule="exact"/>
        <w:rPr>
          <w:rFonts w:hint="eastAsia" w:ascii="仿宋_GB2312" w:hAnsi="仿宋_GB2312" w:eastAsia="仿宋_GB2312" w:cs="仿宋_GB2312"/>
          <w:sz w:val="32"/>
          <w:szCs w:val="32"/>
        </w:rPr>
      </w:pPr>
      <w:r>
        <w:rPr>
          <w:rFonts w:hint="eastAsia" w:ascii="黑体" w:hAnsi="黑体" w:eastAsia="黑体" w:cs="黑体"/>
          <w:sz w:val="32"/>
          <w:szCs w:val="32"/>
        </w:rPr>
        <w:t>公开方式：</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pBdr>
          <w:bottom w:val="single" w:color="auto" w:sz="4" w:space="0"/>
        </w:pBdr>
        <w:spacing w:line="600" w:lineRule="exact"/>
        <w:rPr>
          <w:rFonts w:hint="eastAsia" w:ascii="仿宋_GB2312" w:hAnsi="仿宋_GB2312" w:eastAsia="仿宋_GB2312" w:cs="仿宋_GB2312"/>
          <w:sz w:val="32"/>
          <w:szCs w:val="32"/>
        </w:rPr>
      </w:pPr>
    </w:p>
    <w:p>
      <w:pPr>
        <w:spacing w:line="60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抄送：江门市农业农村局，各镇（街）人民政府（</w:t>
      </w:r>
      <w:r>
        <w:rPr>
          <w:rFonts w:hint="eastAsia" w:ascii="仿宋_GB2312" w:hAnsi="仿宋_GB2312" w:eastAsia="仿宋_GB2312" w:cs="仿宋_GB2312"/>
          <w:sz w:val="28"/>
          <w:szCs w:val="28"/>
          <w:lang w:eastAsia="zh-CN"/>
        </w:rPr>
        <w:t>办事处</w:t>
      </w:r>
      <w:bookmarkStart w:id="0" w:name="_GoBack"/>
      <w:bookmarkEnd w:id="0"/>
      <w:r>
        <w:rPr>
          <w:rFonts w:hint="eastAsia" w:ascii="仿宋_GB2312" w:hAnsi="仿宋_GB2312" w:eastAsia="仿宋_GB2312" w:cs="仿宋_GB2312"/>
          <w:sz w:val="28"/>
          <w:szCs w:val="28"/>
        </w:rPr>
        <w:t>），新会区财</w:t>
      </w:r>
    </w:p>
    <w:p>
      <w:pPr>
        <w:spacing w:line="600" w:lineRule="exact"/>
        <w:ind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政局、区自然资源局。</w:t>
      </w:r>
    </w:p>
    <w:p>
      <w:pPr>
        <w:pBdr>
          <w:top w:val="single" w:color="auto" w:sz="6" w:space="1"/>
          <w:bottom w:val="single" w:color="auto" w:sz="6" w:space="1"/>
        </w:pBdr>
        <w:spacing w:line="560" w:lineRule="exact"/>
        <w:ind w:firstLine="140" w:firstLineChars="50"/>
        <w:rPr>
          <w:rFonts w:hint="eastAsia" w:ascii="仿宋_GB2312" w:hAnsi="仿宋" w:eastAsia="仿宋_GB2312" w:cs="仿宋"/>
          <w:color w:val="000000"/>
          <w:sz w:val="32"/>
          <w:szCs w:val="32"/>
          <w:lang w:val="en-US" w:eastAsia="zh-CN"/>
        </w:rPr>
      </w:pPr>
      <w:r>
        <w:rPr>
          <w:rFonts w:hint="eastAsia" w:ascii="仿宋_GB2312" w:hAnsi="仿宋_GB2312" w:eastAsia="仿宋_GB2312" w:cs="仿宋_GB2312"/>
          <w:sz w:val="28"/>
          <w:szCs w:val="28"/>
        </w:rPr>
        <w:t xml:space="preserve">江门市新会区农业农村局办公室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2024年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日印发</w:t>
      </w:r>
    </w:p>
    <w:p>
      <w:pP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br w:type="page"/>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2024年病虫害防控-江门新会区柑橘黄龙病</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防控示范项目实施方案</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kern w:val="0"/>
          <w:sz w:val="32"/>
          <w:szCs w:val="32"/>
          <w:lang w:bidi="ar"/>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江门市财政局关于下达2024年中央农业防灾减灾和水利救灾资金（防灾救灾第三批）的通知》和《广东省财政厅关于下达2024年中央农业防灾减灾和水利救灾资金（防灾救灾第三批）的通知》（粤财农〔2024〕43号）等文件下达的建设内容和绩效目标要求，结合实际，为推动2024年病虫害防控-江门新会区柑橘黄龙病防控示范项目的顺利实施，综合镇（街）和有关部门</w:t>
      </w:r>
      <w:r>
        <w:rPr>
          <w:rFonts w:hint="eastAsia" w:ascii="仿宋_GB2312" w:hAnsi="仿宋_GB2312" w:eastAsia="仿宋_GB2312" w:cs="仿宋_GB2312"/>
          <w:kern w:val="0"/>
          <w:sz w:val="32"/>
          <w:szCs w:val="32"/>
          <w:lang w:eastAsia="zh-CN" w:bidi="ar"/>
        </w:rPr>
        <w:t>意见</w:t>
      </w:r>
      <w:r>
        <w:rPr>
          <w:rFonts w:hint="eastAsia" w:ascii="仿宋_GB2312" w:hAnsi="仿宋_GB2312" w:eastAsia="仿宋_GB2312" w:cs="仿宋_GB2312"/>
          <w:kern w:val="0"/>
          <w:sz w:val="32"/>
          <w:szCs w:val="32"/>
          <w:lang w:bidi="ar"/>
        </w:rPr>
        <w:t>，制定本方案。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一、指导思想</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坚持“以防为主，综合防控”的绿色植保理念，突出重点与关键技术，强化政策扶持和指导服务，通过“创建柑橘黄龙病防控示范园，扶持培育无病苗圃繁育基地”等柑橘黄龙病防控示范，科学提升综合防控水平，有效控制柑橘黄龙病的发生为害，促进我区柑橘产业可持续发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二、绩效目标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创建600亩以上柑橘黄龙病防控示范园，病株率控制在3%以内，统防统治率80%以上。</w:t>
      </w:r>
      <w:r>
        <w:rPr>
          <w:rFonts w:hint="eastAsia" w:ascii="仿宋_GB2312" w:hAnsi="仿宋_GB2312" w:eastAsia="仿宋_GB2312" w:cs="仿宋_GB2312"/>
          <w:kern w:val="0"/>
          <w:sz w:val="32"/>
          <w:szCs w:val="32"/>
        </w:rPr>
        <w:t>扶持培育柑橘无病苗圃繁育基地1个，开展新会柑无病大苗繁育。</w:t>
      </w:r>
      <w:r>
        <w:rPr>
          <w:rFonts w:hint="eastAsia" w:ascii="仿宋_GB2312" w:hAnsi="仿宋_GB2312" w:eastAsia="仿宋_GB2312" w:cs="仿宋_GB2312"/>
          <w:kern w:val="0"/>
          <w:sz w:val="32"/>
          <w:szCs w:val="32"/>
          <w:lang w:bidi="ar"/>
        </w:rPr>
        <w:t>项目区（含示范园和</w:t>
      </w:r>
      <w:r>
        <w:rPr>
          <w:rFonts w:hint="eastAsia" w:ascii="仿宋_GB2312" w:hAnsi="仿宋_GB2312" w:eastAsia="仿宋_GB2312" w:cs="仿宋_GB2312"/>
          <w:kern w:val="0"/>
          <w:sz w:val="32"/>
          <w:szCs w:val="32"/>
        </w:rPr>
        <w:t>繁育基地）</w:t>
      </w:r>
      <w:r>
        <w:rPr>
          <w:rFonts w:hint="eastAsia" w:ascii="仿宋_GB2312" w:hAnsi="仿宋_GB2312" w:eastAsia="仿宋_GB2312" w:cs="仿宋_GB2312"/>
          <w:kern w:val="0"/>
          <w:sz w:val="32"/>
          <w:szCs w:val="32"/>
          <w:lang w:bidi="ar"/>
        </w:rPr>
        <w:t>，农药包装废弃物回收率达到100%，群众满意度85%以上。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三、建设内容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（一）创建柑橘黄龙病防控示范园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按程序确定1个符合条件的新会柑种植区域，创建600亩以上的柑橘黄龙病防控示范园（下称示范园），开展以下建设：</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1.调查取样，技术分析。</w:t>
      </w:r>
      <w:r>
        <w:rPr>
          <w:rFonts w:hint="eastAsia" w:ascii="仿宋_GB2312" w:hAnsi="仿宋_GB2312" w:eastAsia="仿宋_GB2312" w:cs="仿宋_GB2312"/>
          <w:kern w:val="0"/>
          <w:sz w:val="32"/>
          <w:szCs w:val="32"/>
          <w:lang w:bidi="ar"/>
        </w:rPr>
        <w:t>分别于实施初期和验收前2个月，对示范园全面开展柑橘黄龙病和柑橘木虱调查，通过取样送资质检测机构进行柑橘黄龙病菌PCR检测等技术措施，分析示范园柑橘黄龙病和柑橘木虱等发生情况与防控效果。其中：柑橘黄龙病，按每单株五点采摘叶片为一个样本计，实施初期和验收前2个月的送检样本数均不少于100个，（实施初期疑似与正常样本的比例为9:1，具体以中标结果为准）。</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2.统防统治木虱，回收农药包装废弃物。一是</w:t>
      </w:r>
      <w:r>
        <w:rPr>
          <w:rFonts w:hint="eastAsia" w:ascii="仿宋_GB2312" w:hAnsi="仿宋_GB2312" w:eastAsia="仿宋_GB2312" w:cs="仿宋_GB2312"/>
          <w:kern w:val="0"/>
          <w:sz w:val="32"/>
          <w:szCs w:val="32"/>
          <w:lang w:bidi="ar"/>
        </w:rPr>
        <w:t>重点抓住夏梢、秋梢和春梢萌发等关键时期，示范园每梢期应用获农业农村部登记防治柑橘木虱的药剂，统防统治柑橘木虱不少于2次，压低柑橘木虱等传病媒介种群数量，切断柑橘黄龙病传播途径；</w:t>
      </w:r>
      <w:r>
        <w:rPr>
          <w:rFonts w:hint="eastAsia" w:ascii="仿宋_GB2312" w:hAnsi="仿宋_GB2312" w:eastAsia="仿宋_GB2312" w:cs="仿宋_GB2312"/>
          <w:b/>
          <w:bCs/>
          <w:kern w:val="0"/>
          <w:sz w:val="32"/>
          <w:szCs w:val="32"/>
          <w:lang w:bidi="ar"/>
        </w:rPr>
        <w:t>二是</w:t>
      </w:r>
      <w:r>
        <w:rPr>
          <w:rFonts w:hint="eastAsia" w:ascii="仿宋_GB2312" w:hAnsi="仿宋_GB2312" w:eastAsia="仿宋_GB2312" w:cs="仿宋_GB2312"/>
          <w:kern w:val="0"/>
          <w:sz w:val="32"/>
          <w:szCs w:val="32"/>
          <w:lang w:bidi="ar"/>
        </w:rPr>
        <w:t>示范园，农药包装废弃物回收率达到100%。</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3.挖除处理病树，补种无病大苗。一是</w:t>
      </w:r>
      <w:r>
        <w:rPr>
          <w:rFonts w:hint="eastAsia" w:ascii="仿宋_GB2312" w:hAnsi="仿宋_GB2312" w:eastAsia="仿宋_GB2312" w:cs="仿宋_GB2312"/>
          <w:kern w:val="0"/>
          <w:sz w:val="32"/>
          <w:szCs w:val="32"/>
          <w:lang w:bidi="ar"/>
        </w:rPr>
        <w:t>依据调查分析结果，挖除确诊的柑橘黄龙病树，其中：挖除前项目区全面施药统防统治柑橘木虱一次，挖除后对树穴撒施石灰消毒；</w:t>
      </w:r>
      <w:r>
        <w:rPr>
          <w:rFonts w:hint="eastAsia" w:ascii="仿宋_GB2312" w:hAnsi="仿宋_GB2312" w:eastAsia="仿宋_GB2312" w:cs="仿宋_GB2312"/>
          <w:b/>
          <w:bCs/>
          <w:kern w:val="0"/>
          <w:sz w:val="32"/>
          <w:szCs w:val="32"/>
          <w:lang w:bidi="ar"/>
        </w:rPr>
        <w:t>二是</w:t>
      </w:r>
      <w:r>
        <w:rPr>
          <w:rFonts w:hint="eastAsia" w:ascii="仿宋_GB2312" w:hAnsi="仿宋_GB2312" w:eastAsia="仿宋_GB2312" w:cs="仿宋_GB2312"/>
          <w:kern w:val="0"/>
          <w:sz w:val="32"/>
          <w:szCs w:val="32"/>
          <w:lang w:bidi="ar"/>
        </w:rPr>
        <w:t>在项目区选择地方，机械破碎病树，应用有机物料腐熟堆沤技术沤肥和回田使用；</w:t>
      </w:r>
      <w:r>
        <w:rPr>
          <w:rFonts w:hint="eastAsia" w:ascii="仿宋_GB2312" w:hAnsi="仿宋_GB2312" w:eastAsia="仿宋_GB2312" w:cs="仿宋_GB2312"/>
          <w:b/>
          <w:bCs/>
          <w:kern w:val="0"/>
          <w:sz w:val="32"/>
          <w:szCs w:val="32"/>
          <w:lang w:bidi="ar"/>
        </w:rPr>
        <w:t>三是</w:t>
      </w:r>
      <w:r>
        <w:rPr>
          <w:rFonts w:hint="eastAsia" w:ascii="仿宋_GB2312" w:hAnsi="仿宋_GB2312" w:eastAsia="仿宋_GB2312" w:cs="仿宋_GB2312"/>
          <w:kern w:val="0"/>
          <w:sz w:val="32"/>
          <w:szCs w:val="32"/>
          <w:lang w:bidi="ar"/>
        </w:rPr>
        <w:t>补种持有《农作物种子生产经营许可证》，生产经营范围柑橘的企业在防虫大棚培育检疫合格的新会柑无病大苗，苗高0.8米以上（含）。其中：本项目物化补助新会柑无病大苗不少于10000株给示范户在示范面积中补种（具体以中标结果为准）；补种剩余的，由示范户加强管理用作示范面积日后补苗；不足的由示范户自行解决。</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每示范户的新会柑无病大苗物化补助数量计算公式为：实际补助株数（株/户）=该户挖除确诊的柑橘黄龙病树数量（株）÷项目区挖除确诊的柑橘黄龙病树总数量（株）×中标结果的新会柑无病大苗数量（株），四舍五入，取整到个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（二）扶持培育柑橘无病苗圃繁育基地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按程序确定1个符合条件的无病苗圃繁育基地（下称无病苗圃繁育基地），按每株补助不超过10元的标准，扶持无病苗圃繁育基地在防虫大棚培育检疫合格的新会柑无病大苗不少于4.5万株，农药包装废弃物回收率达到100%；在百株平均苗高0.8米以上（含）时，按每株苗采摘不少于5片叶片为一个样本，随机取样不少于100个，送资质检测机构进行柑橘黄龙病菌PCR检测，Ct值为阴性确诊无病定为检疫合格。</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项目验收通过后，本项目扶持培育的检疫合格新会柑无病大苗，由无病苗圃繁育基地优先有偿供应给我区通过扶持新会柑25度园地山坡地发展种植报备的面积，开展新会柑无病大苗种植示范。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（三）开展宣传培训和示范推广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1.示范园和无病苗圃繁育基地各标竖1个示范牌，展示和推广项目的关键技术。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2.举办不少于2期培训人数不少于50人次的柑橘黄龙病培训交流会，普及识别和科学防控柑橘黄龙病知识，全面提升柑橘黄龙病防控技术水平。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四、实施期限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基于无病苗圃繁育基地培育新会柑无病大苗需时1年以上，本项目的实施时间为：2024年印发本实施方案之日起至2025年10月止，其中：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（一）申报时间：</w:t>
      </w:r>
      <w:r>
        <w:rPr>
          <w:rFonts w:hint="eastAsia" w:ascii="仿宋_GB2312" w:hAnsi="仿宋_GB2312" w:eastAsia="仿宋_GB2312" w:cs="仿宋_GB2312"/>
          <w:sz w:val="32"/>
          <w:szCs w:val="32"/>
        </w:rPr>
        <w:t>由方案发布之日起至2024年8月15日止（含公示7天）。</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楷体_GB2312" w:hAnsi="楷体_GB2312" w:eastAsia="楷体_GB2312" w:cs="楷体_GB2312"/>
          <w:sz w:val="32"/>
          <w:szCs w:val="32"/>
        </w:rPr>
        <w:t>（二）中标供应商实施时间：</w:t>
      </w:r>
      <w:r>
        <w:rPr>
          <w:rFonts w:hint="eastAsia" w:ascii="仿宋_GB2312" w:hAnsi="仿宋_GB2312" w:eastAsia="仿宋_GB2312" w:cs="仿宋_GB2312"/>
          <w:kern w:val="0"/>
          <w:sz w:val="32"/>
          <w:szCs w:val="32"/>
          <w:lang w:bidi="ar"/>
        </w:rPr>
        <w:t>由区农业农村局2024年公布确定中标供应商之日起至2025年10月31日止。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五、实施区域与对象的申报遴选和确定</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（一）申报遴选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1.示范园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各镇（街）农业农村办公室[下称镇（街）农办] 通过申报-遴选-公示的方式，组织有实施区域面积的辖区村委会，发动符合申报实施对象条件的新会柑种植者积极参与，做好《2024年病虫害防控-江门新会区柑橘黄龙病防控示范项目创建柑橘黄龙病防控示范园申报遴选推荐清册》登记工作（详见附件1），遴选1个镇</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街</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，由不少于1个村组成连片600亩以上新会柑种植区域为示范园的实施区域，并按“自愿参与示范”原则，在实施区域范围内遴选实施对象（示范户），其中：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（1）示范园的实施对象（示范户）是指在示范园实施区域内符合申报遴选条件的新会柑种植者，包括国有、集体所有制和私有营企业；专业合作社、家庭农场、种植大户和农户。</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涉及以下6种情形之一的新会柑种植面积和种植者不得申报遴选和推荐为示范园的实施区域和实施对象（示范户）：①高标准农田建设范围的；②耕地“非农化”的；③耕地“非粮化”的；④未经发包方同意，擅自改变合同用途的；⑤卫片执法或水土流失需要整改的；⑥25度坡以上林地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（3）通过我区扶持新会柑25度坡以下园地山坡地发展种植报备新会柑的种植面积和种植者，可优先遴选为本项目的实施区域和实施对象（示范户）。</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2.无病苗圃繁育基地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镇（街）农办通过申报-遴选-公示的方式，积极宣传发动符合条件的企业申报，做好《2024年病虫害防控-江门新会区柑橘黄龙病防控示范项目扶持培育柑橘无病苗圃繁育基地申报遴选推荐清册》登记工作（详见附件2），遴选无病苗圃繁育基地。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（1）无病苗圃繁育基地的实施对象是指符合申报遴选条件的企业，包括国有、集体所有制和私有营企业。</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参与本项申报遴选的基地和实施对象，需符合以下5种情形：①持有《农作物种子生产经营许可证》，生产经营范围柑橘的企业；②具备可在防虫大棚培育不少于4.5万株检疫合格的新会柑无病大苗的条件和能力；③不涉及耕地“非农化”；④不涉及耕地“非粮化”的；⑤持证以来没有发生新会柑苗经营质量问题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（二）公示和推荐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有关申报遴选结果在属地镇（街）或主管部门公示栏公示7天无异议后，镇（街）农办或主管部门于2024年8月15日前向区农业农村局推荐和提交材料，其中：申报遴选推荐示范园的需提交附件1、2、3及公示照片；申报遴选推荐无病苗圃繁育基地的需提交附件4、5及公示照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（三）确定结果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1.示范园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区农业农村局依据镇（街）农办推荐的示范园申报遴选结果材料，结合实地和采购中标结果，按推荐的示范园面积，由大到小确定示范园的镇和村，再</w:t>
      </w:r>
      <w:r>
        <w:rPr>
          <w:rFonts w:ascii="仿宋_GB2312" w:hAnsi="仿宋_GB2312" w:eastAsia="仿宋_GB2312" w:cs="仿宋_GB2312"/>
          <w:kern w:val="0"/>
          <w:sz w:val="32"/>
          <w:szCs w:val="32"/>
          <w:lang w:bidi="ar"/>
        </w:rPr>
        <w:t>由小到大确定具体</w:t>
      </w:r>
      <w:r>
        <w:rPr>
          <w:rFonts w:hint="eastAsia" w:ascii="仿宋_GB2312" w:hAnsi="仿宋_GB2312" w:eastAsia="仿宋_GB2312" w:cs="仿宋_GB2312"/>
          <w:kern w:val="0"/>
          <w:sz w:val="32"/>
          <w:szCs w:val="32"/>
          <w:lang w:bidi="ar"/>
        </w:rPr>
        <w:t>镇、村的实施对象（示范户）。其中，有通过我区扶持新会柑25度坡以下园地山坡地发展种植报备面积的，优先确定。</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2.无病苗圃繁育基地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区农业农村局依据镇（街）农办和国有、集体所有制企业主管部门推荐的无病苗圃繁育基地申报遴选结果材料，结合实地和采购中标结果，按推荐的柑橘苗圃繁育面积和防虫大棚面积由大到少，择优确定无病苗圃繁育基地和实施对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3.有关结果在新会区政府信息公开平台公开公示3天无异议后确定。对不申报的镇（街），不予支持开展本项目。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六、实施主体、方式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（一）实施主体：</w:t>
      </w:r>
      <w:r>
        <w:rPr>
          <w:rFonts w:hint="eastAsia" w:ascii="仿宋_GB2312" w:hAnsi="仿宋_GB2312" w:eastAsia="仿宋_GB2312" w:cs="仿宋_GB2312"/>
          <w:sz w:val="32"/>
          <w:szCs w:val="32"/>
        </w:rPr>
        <w:t>镇（街）农办或</w:t>
      </w:r>
      <w:r>
        <w:rPr>
          <w:rFonts w:hint="eastAsia" w:ascii="仿宋_GB2312" w:hAnsi="仿宋_GB2312" w:eastAsia="仿宋_GB2312" w:cs="仿宋_GB2312"/>
          <w:kern w:val="0"/>
          <w:sz w:val="32"/>
          <w:szCs w:val="32"/>
          <w:lang w:bidi="ar"/>
        </w:rPr>
        <w:t>国有、集体所有制企业主管部门</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（二）实施方式：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1.社会化服务开展。由区农业农村局按政府采购管理规定，确定一个中标供应商按实施方案、中标结果、社会化服务合同等要求，开展和完成本项目的社会化服务：</w:t>
      </w:r>
      <w:r>
        <w:rPr>
          <w:rFonts w:hint="eastAsia" w:ascii="仿宋_GB2312" w:hAnsi="仿宋_GB2312" w:eastAsia="仿宋_GB2312" w:cs="仿宋_GB2312"/>
          <w:b/>
          <w:bCs/>
          <w:kern w:val="0"/>
          <w:sz w:val="32"/>
          <w:szCs w:val="32"/>
          <w:lang w:bidi="ar"/>
        </w:rPr>
        <w:t>一是</w:t>
      </w:r>
      <w:r>
        <w:rPr>
          <w:rFonts w:hint="eastAsia" w:ascii="仿宋_GB2312" w:hAnsi="仿宋_GB2312" w:eastAsia="仿宋_GB2312" w:cs="仿宋_GB2312"/>
          <w:kern w:val="0"/>
          <w:sz w:val="32"/>
          <w:szCs w:val="32"/>
          <w:lang w:bidi="ar"/>
        </w:rPr>
        <w:t>创建柑橘黄龙病防控示范园建设的调查取样，技术分析；统防统治木虱；挖除处理病树，物化补助无病大苗。</w:t>
      </w:r>
      <w:r>
        <w:rPr>
          <w:rFonts w:hint="eastAsia" w:ascii="仿宋_GB2312" w:hAnsi="仿宋_GB2312" w:eastAsia="仿宋_GB2312" w:cs="仿宋_GB2312"/>
          <w:b/>
          <w:bCs/>
          <w:kern w:val="0"/>
          <w:sz w:val="32"/>
          <w:szCs w:val="32"/>
          <w:lang w:bidi="ar"/>
        </w:rPr>
        <w:t>二是</w:t>
      </w:r>
      <w:r>
        <w:rPr>
          <w:rFonts w:hint="eastAsia" w:ascii="仿宋_GB2312" w:hAnsi="仿宋_GB2312" w:eastAsia="仿宋_GB2312" w:cs="仿宋_GB2312"/>
          <w:kern w:val="0"/>
          <w:sz w:val="32"/>
          <w:szCs w:val="32"/>
          <w:lang w:bidi="ar"/>
        </w:rPr>
        <w:t>扶持培育柑橘无病苗圃繁育基地资金补助；新会柑无病大苗的柑橘黄龙病菌PCR检测取样送检；</w:t>
      </w:r>
      <w:r>
        <w:rPr>
          <w:rFonts w:hint="eastAsia" w:ascii="仿宋_GB2312" w:hAnsi="仿宋_GB2312" w:eastAsia="仿宋_GB2312" w:cs="仿宋_GB2312"/>
          <w:b/>
          <w:bCs/>
          <w:kern w:val="0"/>
          <w:sz w:val="32"/>
          <w:szCs w:val="32"/>
          <w:lang w:bidi="ar"/>
        </w:rPr>
        <w:t>三是</w:t>
      </w:r>
      <w:r>
        <w:rPr>
          <w:rFonts w:hint="eastAsia" w:ascii="仿宋_GB2312" w:hAnsi="仿宋_GB2312" w:eastAsia="仿宋_GB2312" w:cs="仿宋_GB2312"/>
          <w:kern w:val="0"/>
          <w:sz w:val="32"/>
          <w:szCs w:val="32"/>
          <w:lang w:bidi="ar"/>
        </w:rPr>
        <w:t>回收项目区的农药包装废弃物；</w:t>
      </w:r>
      <w:r>
        <w:rPr>
          <w:rFonts w:hint="eastAsia" w:ascii="仿宋_GB2312" w:hAnsi="仿宋_GB2312" w:eastAsia="仿宋_GB2312" w:cs="仿宋_GB2312"/>
          <w:b/>
          <w:bCs/>
          <w:kern w:val="0"/>
          <w:sz w:val="32"/>
          <w:szCs w:val="32"/>
          <w:lang w:bidi="ar"/>
        </w:rPr>
        <w:t>四是</w:t>
      </w:r>
      <w:r>
        <w:rPr>
          <w:rFonts w:hint="eastAsia" w:ascii="仿宋_GB2312" w:hAnsi="仿宋_GB2312" w:eastAsia="仿宋_GB2312" w:cs="仿宋_GB2312"/>
          <w:kern w:val="0"/>
          <w:sz w:val="32"/>
          <w:szCs w:val="32"/>
          <w:lang w:bidi="ar"/>
        </w:rPr>
        <w:t>标竖示范标牌、宣传培训、满意度调查、项目相片与材料收集、总结、审计、验收和建立台账等。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2.签订实施协议协同推进。由实施主体与实施区域的村委会[含实施对象（示范户）]相应签订实施协议（详见附件3、4），积极配合中标供应商推进项目建设。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七、资金规模和补助方式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楷体_GB2312" w:hAnsi="楷体_GB2312" w:eastAsia="楷体_GB2312" w:cs="楷体_GB2312"/>
          <w:sz w:val="32"/>
          <w:szCs w:val="32"/>
        </w:rPr>
        <w:t>（一）资金规模。</w:t>
      </w:r>
      <w:r>
        <w:rPr>
          <w:rFonts w:hint="eastAsia" w:ascii="仿宋_GB2312" w:hAnsi="仿宋_GB2312" w:eastAsia="仿宋_GB2312" w:cs="仿宋_GB2312"/>
          <w:kern w:val="0"/>
          <w:sz w:val="32"/>
          <w:szCs w:val="32"/>
          <w:lang w:bidi="ar"/>
        </w:rPr>
        <w:t>本项目补助资金为2024 年中央农业防灾减灾和水利救灾资金（防灾救灾第三批）专项资金，共100万元。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楷体_GB2312" w:hAnsi="楷体_GB2312" w:eastAsia="楷体_GB2312" w:cs="楷体_GB2312"/>
          <w:sz w:val="32"/>
          <w:szCs w:val="32"/>
        </w:rPr>
        <w:t>（二）补助方式。</w:t>
      </w:r>
      <w:r>
        <w:rPr>
          <w:rFonts w:hint="eastAsia" w:ascii="仿宋_GB2312" w:hAnsi="仿宋_GB2312" w:eastAsia="仿宋_GB2312" w:cs="仿宋_GB2312"/>
          <w:kern w:val="0"/>
          <w:sz w:val="32"/>
          <w:szCs w:val="32"/>
          <w:lang w:bidi="ar"/>
        </w:rPr>
        <w:t>根据政府采购的相关规定，采用服务类公开招标，采购金额共100万元，按本项目的《社会化服务合同》条款和进度，由区农业农村局报请区财政局将补助资金补助给中标供应商。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八、其他事宜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（一）优先扶持。</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做好验收。中标供应商于2025年10月31日前完成项目，并向区农业农村局书面提出区级验收申请，区农业农村局组织种植业、会计，以及相关专业类，具中级（含）以上专业技术职称资格的5名专家进行区级验收。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（二）区农业农村、财政部门按上级文件有关要求做好项目推进、监管和建设等情况报送工作。</w:t>
      </w:r>
    </w:p>
    <w:p>
      <w:pPr>
        <w:pStyle w:val="8"/>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1598" w:leftChars="304" w:hanging="960" w:hangingChars="3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附件：1.创建柑橘黄龙病防控示范园申报遴选推荐清册</w:t>
      </w:r>
    </w:p>
    <w:p>
      <w:pPr>
        <w:keepNext w:val="0"/>
        <w:keepLines w:val="0"/>
        <w:pageBreakBefore w:val="0"/>
        <w:widowControl/>
        <w:kinsoku/>
        <w:wordWrap/>
        <w:overflowPunct/>
        <w:topLinePunct w:val="0"/>
        <w:autoSpaceDE/>
        <w:autoSpaceDN/>
        <w:bidi w:val="0"/>
        <w:adjustRightInd/>
        <w:snapToGrid/>
        <w:spacing w:line="580" w:lineRule="exact"/>
        <w:ind w:left="1916" w:leftChars="760" w:hanging="320" w:hangingChars="1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2.创建柑橘黄龙病防控示范园申报遴选推荐汇总表</w:t>
      </w:r>
    </w:p>
    <w:p>
      <w:pPr>
        <w:keepNext w:val="0"/>
        <w:keepLines w:val="0"/>
        <w:pageBreakBefore w:val="0"/>
        <w:widowControl/>
        <w:kinsoku/>
        <w:wordWrap/>
        <w:overflowPunct/>
        <w:topLinePunct w:val="0"/>
        <w:autoSpaceDE/>
        <w:autoSpaceDN/>
        <w:bidi w:val="0"/>
        <w:adjustRightInd/>
        <w:snapToGrid/>
        <w:spacing w:line="580" w:lineRule="exact"/>
        <w:ind w:left="1916" w:leftChars="760" w:hanging="320" w:hangingChars="1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3.创建柑橘黄龙病防控示范园实施协议</w:t>
      </w:r>
    </w:p>
    <w:p>
      <w:pPr>
        <w:pStyle w:val="8"/>
        <w:keepNext w:val="0"/>
        <w:keepLines w:val="0"/>
        <w:pageBreakBefore w:val="0"/>
        <w:kinsoku/>
        <w:wordWrap/>
        <w:overflowPunct/>
        <w:topLinePunct w:val="0"/>
        <w:autoSpaceDE/>
        <w:autoSpaceDN/>
        <w:bidi w:val="0"/>
        <w:adjustRightInd/>
        <w:snapToGrid/>
        <w:spacing w:line="580" w:lineRule="exact"/>
        <w:ind w:left="1916" w:leftChars="760" w:hanging="320" w:hangingChars="1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4.扶持培育柑橘无病苗圃繁育基地申报遴选推荐清册</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          5.扶持培育柑橘无病苗圃繁育基地实施协议</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sectPr>
          <w:footerReference r:id="rId3" w:type="default"/>
          <w:pgSz w:w="11906" w:h="16838"/>
          <w:pgMar w:top="1701" w:right="1587" w:bottom="1417" w:left="1587" w:header="851" w:footer="992" w:gutter="0"/>
          <w:cols w:space="425" w:num="1"/>
          <w:docGrid w:type="lines" w:linePitch="312" w:charSpace="0"/>
        </w:sect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2024年病虫害防控-江门新会区柑橘黄龙病防控示范项目</w:t>
      </w:r>
    </w:p>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创建柑橘黄龙病防控示范园申报遴选推荐清册</w:t>
      </w: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镇（街）农业农村办公室（盖章）                         </w:t>
      </w:r>
    </w:p>
    <w:tbl>
      <w:tblPr>
        <w:tblStyle w:val="11"/>
        <w:tblW w:w="211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67"/>
        <w:gridCol w:w="1482"/>
        <w:gridCol w:w="994"/>
        <w:gridCol w:w="2259"/>
        <w:gridCol w:w="1445"/>
        <w:gridCol w:w="1193"/>
        <w:gridCol w:w="994"/>
        <w:gridCol w:w="1157"/>
        <w:gridCol w:w="2205"/>
        <w:gridCol w:w="1481"/>
        <w:gridCol w:w="940"/>
        <w:gridCol w:w="1283"/>
        <w:gridCol w:w="180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5" w:type="dxa"/>
            <w:vMerge w:val="restart"/>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7247" w:type="dxa"/>
            <w:gridSpan w:val="5"/>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申报遴选推荐组成连片600亩以上新会柑种植区域的</w:t>
            </w:r>
          </w:p>
        </w:tc>
        <w:tc>
          <w:tcPr>
            <w:tcW w:w="7970" w:type="dxa"/>
            <w:gridSpan w:val="6"/>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是否涉及以下6种情形之一</w:t>
            </w:r>
          </w:p>
        </w:tc>
        <w:tc>
          <w:tcPr>
            <w:tcW w:w="1283" w:type="dxa"/>
            <w:vMerge w:val="restart"/>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是否同意由村委会与镇（街）农办签订实施协议</w:t>
            </w:r>
          </w:p>
        </w:tc>
        <w:tc>
          <w:tcPr>
            <w:tcW w:w="1808" w:type="dxa"/>
            <w:vMerge w:val="restart"/>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申报遴选推荐实施对象签字（指模）</w:t>
            </w:r>
          </w:p>
        </w:tc>
        <w:tc>
          <w:tcPr>
            <w:tcW w:w="2114" w:type="dxa"/>
            <w:vMerge w:val="restart"/>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申报遴选推荐的实施对象</w:t>
            </w:r>
          </w:p>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55" w:type="dxa"/>
            <w:vMerge w:val="continue"/>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067"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实施村</w:t>
            </w:r>
          </w:p>
        </w:tc>
        <w:tc>
          <w:tcPr>
            <w:tcW w:w="1482" w:type="dxa"/>
            <w:vAlign w:val="center"/>
          </w:tcPr>
          <w:p>
            <w:pPr>
              <w:spacing w:line="3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实施对象（示范户）</w:t>
            </w:r>
          </w:p>
          <w:p>
            <w:pPr>
              <w:spacing w:line="3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姓名或名称</w:t>
            </w:r>
          </w:p>
        </w:tc>
        <w:tc>
          <w:tcPr>
            <w:tcW w:w="994" w:type="dxa"/>
            <w:vAlign w:val="center"/>
          </w:tcPr>
          <w:p>
            <w:pPr>
              <w:spacing w:line="38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新会柑种植面积（亩）</w:t>
            </w:r>
          </w:p>
        </w:tc>
        <w:tc>
          <w:tcPr>
            <w:tcW w:w="2259" w:type="dxa"/>
            <w:vAlign w:val="center"/>
          </w:tcPr>
          <w:p>
            <w:p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其中：通过我区扶持新会柑25度坡以下园地山坡地发展种植报备的面积（亩）</w:t>
            </w:r>
          </w:p>
        </w:tc>
        <w:tc>
          <w:tcPr>
            <w:tcW w:w="1445"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实施区域地点（土名）</w:t>
            </w:r>
          </w:p>
        </w:tc>
        <w:tc>
          <w:tcPr>
            <w:tcW w:w="1193" w:type="dxa"/>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①高标准农田建设范围的</w:t>
            </w:r>
          </w:p>
        </w:tc>
        <w:tc>
          <w:tcPr>
            <w:tcW w:w="994" w:type="dxa"/>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②耕地“非农化”的</w:t>
            </w:r>
          </w:p>
        </w:tc>
        <w:tc>
          <w:tcPr>
            <w:tcW w:w="1157" w:type="dxa"/>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③耕地“非粮化”的</w:t>
            </w:r>
          </w:p>
        </w:tc>
        <w:tc>
          <w:tcPr>
            <w:tcW w:w="2205" w:type="dxa"/>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④未经发包方同意，擅自改变合同用途的</w:t>
            </w:r>
          </w:p>
        </w:tc>
        <w:tc>
          <w:tcPr>
            <w:tcW w:w="1481" w:type="dxa"/>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⑤卫片执法或水土流失需要整改的</w:t>
            </w:r>
          </w:p>
        </w:tc>
        <w:tc>
          <w:tcPr>
            <w:tcW w:w="940" w:type="dxa"/>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⑥25度坡以上林地的</w:t>
            </w:r>
          </w:p>
        </w:tc>
        <w:tc>
          <w:tcPr>
            <w:tcW w:w="1283" w:type="dxa"/>
            <w:vMerge w:val="continue"/>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808" w:type="dxa"/>
            <w:vMerge w:val="continue"/>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114" w:type="dxa"/>
            <w:vMerge w:val="continue"/>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55"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06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2"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59"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4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9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5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0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1"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40"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8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808"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11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06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2"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59"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4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9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5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0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1"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40"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8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808"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11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３</w:t>
            </w:r>
          </w:p>
        </w:tc>
        <w:tc>
          <w:tcPr>
            <w:tcW w:w="1067"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2"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59"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4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9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5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0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1"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40"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8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808"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11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４</w:t>
            </w:r>
          </w:p>
        </w:tc>
        <w:tc>
          <w:tcPr>
            <w:tcW w:w="106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2"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59"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4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9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5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0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1"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40"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8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808"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11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5"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５</w:t>
            </w:r>
          </w:p>
        </w:tc>
        <w:tc>
          <w:tcPr>
            <w:tcW w:w="106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2"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59"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4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9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9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57"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0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81"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940"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8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808"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11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77" w:type="dxa"/>
            <w:gridSpan w:val="15"/>
            <w:vAlign w:val="cente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村委会意见：</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村主任签名：</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（村委会公章）</w:t>
            </w:r>
          </w:p>
          <w:p>
            <w:pPr>
              <w:jc w:val="left"/>
              <w:rPr>
                <w:rFonts w:ascii="仿宋_GB2312" w:hAnsi="仿宋_GB2312" w:eastAsia="仿宋_GB2312" w:cs="仿宋_GB2312"/>
                <w:kern w:val="0"/>
                <w:sz w:val="24"/>
              </w:rPr>
            </w:pPr>
            <w:r>
              <w:rPr>
                <w:rFonts w:hint="eastAsia" w:ascii="仿宋_GB2312" w:hAnsi="仿宋_GB2312" w:eastAsia="仿宋_GB2312" w:cs="仿宋_GB2312"/>
                <w:sz w:val="32"/>
                <w:szCs w:val="32"/>
              </w:rPr>
              <w:t xml:space="preserve">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1177" w:type="dxa"/>
            <w:gridSpan w:val="15"/>
            <w:vAlign w:val="cente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镇（街）农办意见：</w:t>
            </w:r>
          </w:p>
          <w:p/>
          <w:p>
            <w:pPr>
              <w:pStyle w:val="8"/>
            </w:pPr>
          </w:p>
          <w:p>
            <w:pPr>
              <w:pStyle w:val="8"/>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经办人签字：                    农办主任签字：               分管领导签字：</w:t>
            </w:r>
          </w:p>
          <w:p>
            <w:pPr>
              <w:pStyle w:val="8"/>
              <w:ind w:firstLine="9600" w:firstLineChars="3000"/>
              <w:rPr>
                <w:rFonts w:ascii="仿宋_GB2312" w:hAnsi="仿宋_GB2312" w:eastAsia="仿宋_GB2312" w:cs="仿宋_GB2312"/>
                <w:sz w:val="32"/>
                <w:szCs w:val="32"/>
              </w:rPr>
            </w:pPr>
            <w:r>
              <w:rPr>
                <w:rFonts w:hint="eastAsia" w:ascii="仿宋_GB2312" w:hAnsi="仿宋_GB2312" w:eastAsia="仿宋_GB2312" w:cs="仿宋_GB2312"/>
                <w:sz w:val="32"/>
                <w:szCs w:val="32"/>
              </w:rPr>
              <w:t>　　　　　　　　　　　　　　 2024年    月    日</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bl>
    <w:p>
      <w:pPr>
        <w:spacing w:line="520" w:lineRule="exact"/>
        <w:rPr>
          <w:rFonts w:ascii="仿宋_GB2312" w:hAnsi="仿宋_GB2312" w:eastAsia="仿宋_GB2312" w:cs="仿宋_GB2312"/>
          <w:sz w:val="32"/>
          <w:szCs w:val="32"/>
        </w:rPr>
        <w:sectPr>
          <w:pgSz w:w="23811" w:h="16838" w:orient="landscape"/>
          <w:pgMar w:top="1803" w:right="1440" w:bottom="1803" w:left="1440" w:header="851" w:footer="992" w:gutter="0"/>
          <w:cols w:space="0" w:num="1"/>
          <w:docGrid w:type="lines" w:linePitch="319"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2024年病虫害防控-江门新会区柑橘黄龙病防控示范项目</w:t>
      </w:r>
    </w:p>
    <w:p>
      <w:pPr>
        <w:adjustRightInd w:val="0"/>
        <w:snapToGrid w:val="0"/>
        <w:spacing w:line="590" w:lineRule="exact"/>
        <w:jc w:val="center"/>
        <w:rPr>
          <w:rFonts w:ascii="仿宋" w:hAnsi="仿宋" w:eastAsia="仿宋" w:cs="仿宋"/>
          <w:b/>
          <w:sz w:val="44"/>
          <w:szCs w:val="44"/>
        </w:rPr>
      </w:pPr>
      <w:r>
        <w:rPr>
          <w:rFonts w:hint="eastAsia" w:ascii="方正小标宋简体" w:hAnsi="方正小标宋简体" w:eastAsia="方正小标宋简体" w:cs="方正小标宋简体"/>
          <w:bCs/>
          <w:sz w:val="44"/>
          <w:szCs w:val="44"/>
        </w:rPr>
        <w:t>创建柑橘黄龙病防控示范园申报遴选推荐汇总表</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镇（街）农业农村办公室</w:t>
      </w:r>
      <w:r>
        <w:rPr>
          <w:rFonts w:hint="eastAsia" w:ascii="仿宋_GB2312" w:hAnsi="仿宋_GB2312" w:eastAsia="仿宋_GB2312" w:cs="仿宋_GB2312"/>
          <w:kern w:val="0"/>
          <w:sz w:val="32"/>
          <w:szCs w:val="32"/>
        </w:rPr>
        <w:t>（盖章）</w:t>
      </w:r>
      <w:r>
        <w:rPr>
          <w:rFonts w:hint="eastAsia" w:ascii="仿宋_GB2312" w:hAnsi="仿宋_GB2312" w:eastAsia="仿宋_GB2312" w:cs="仿宋_GB2312"/>
          <w:sz w:val="32"/>
          <w:szCs w:val="32"/>
        </w:rPr>
        <w:t xml:space="preserve">                       推荐时间：2024年   月  日</w:t>
      </w:r>
    </w:p>
    <w:tbl>
      <w:tblPr>
        <w:tblStyle w:val="11"/>
        <w:tblW w:w="141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4"/>
        <w:gridCol w:w="1947"/>
        <w:gridCol w:w="1782"/>
        <w:gridCol w:w="2935"/>
        <w:gridCol w:w="2295"/>
        <w:gridCol w:w="148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938" w:type="dxa"/>
            <w:gridSpan w:val="4"/>
            <w:vAlign w:val="center"/>
          </w:tcPr>
          <w:p>
            <w:pPr>
              <w:widowControl/>
              <w:tabs>
                <w:tab w:val="center" w:pos="4153"/>
                <w:tab w:val="right" w:pos="8306"/>
              </w:tabs>
              <w:snapToGrid w:val="0"/>
              <w:jc w:val="center"/>
              <w:rPr>
                <w:rFonts w:ascii="仿宋_GB2312" w:hAnsi="仿宋_GB2312" w:eastAsia="仿宋_GB2312" w:cs="仿宋_GB2312"/>
                <w:sz w:val="24"/>
              </w:rPr>
            </w:pPr>
            <w:r>
              <w:rPr>
                <w:rFonts w:hint="eastAsia" w:ascii="仿宋_GB2312" w:hAnsi="仿宋_GB2312" w:eastAsia="仿宋_GB2312" w:cs="仿宋_GB2312"/>
                <w:sz w:val="24"/>
              </w:rPr>
              <w:t>申报遴选推荐组成连片600亩以上新会柑种植区域的</w:t>
            </w:r>
          </w:p>
        </w:tc>
        <w:tc>
          <w:tcPr>
            <w:tcW w:w="2295" w:type="dxa"/>
            <w:vMerge w:val="restart"/>
            <w:vAlign w:val="center"/>
          </w:tcPr>
          <w:p>
            <w:pPr>
              <w:spacing w:line="440" w:lineRule="exact"/>
              <w:jc w:val="center"/>
              <w:rPr>
                <w:sz w:val="24"/>
              </w:rPr>
            </w:pPr>
            <w:r>
              <w:rPr>
                <w:rFonts w:hint="eastAsia" w:ascii="仿宋_GB2312" w:hAnsi="仿宋_GB2312" w:eastAsia="仿宋_GB2312" w:cs="仿宋_GB2312"/>
                <w:kern w:val="0"/>
                <w:sz w:val="24"/>
              </w:rPr>
              <w:t>实施区域新会柑种植面积和实施对象是否涉及本事项不符合申报遴选和推荐的6种情形之一</w:t>
            </w:r>
          </w:p>
          <w:p>
            <w:pPr>
              <w:widowControl/>
              <w:snapToGrid w:val="0"/>
              <w:jc w:val="center"/>
              <w:rPr>
                <w:rFonts w:ascii="仿宋_GB2312" w:hAnsi="仿宋_GB2312" w:eastAsia="仿宋_GB2312" w:cs="仿宋_GB2312"/>
                <w:sz w:val="24"/>
              </w:rPr>
            </w:pPr>
          </w:p>
        </w:tc>
        <w:tc>
          <w:tcPr>
            <w:tcW w:w="1482" w:type="dxa"/>
            <w:vMerge w:val="restart"/>
            <w:vAlign w:val="center"/>
          </w:tcPr>
          <w:p>
            <w:pPr>
              <w:spacing w:line="440" w:lineRule="exact"/>
              <w:jc w:val="center"/>
              <w:rPr>
                <w:sz w:val="24"/>
              </w:rPr>
            </w:pPr>
            <w:r>
              <w:rPr>
                <w:rFonts w:hint="eastAsia" w:ascii="仿宋_GB2312" w:hAnsi="仿宋_GB2312" w:eastAsia="仿宋_GB2312" w:cs="仿宋_GB2312"/>
                <w:sz w:val="24"/>
              </w:rPr>
              <w:t>镇（街）农办是否与村委会与签订实施协议</w:t>
            </w:r>
          </w:p>
          <w:p>
            <w:pPr>
              <w:widowControl/>
              <w:tabs>
                <w:tab w:val="center" w:pos="4153"/>
                <w:tab w:val="right" w:pos="8306"/>
              </w:tabs>
              <w:snapToGrid w:val="0"/>
              <w:jc w:val="center"/>
              <w:rPr>
                <w:rFonts w:ascii="仿宋_GB2312" w:hAnsi="仿宋_GB2312" w:eastAsia="仿宋_GB2312" w:cs="仿宋_GB2312"/>
                <w:sz w:val="24"/>
              </w:rPr>
            </w:pPr>
          </w:p>
        </w:tc>
        <w:tc>
          <w:tcPr>
            <w:tcW w:w="1414"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88" w:type="dxa"/>
            <w:vMerge w:val="continue"/>
            <w:vAlign w:val="center"/>
          </w:tcPr>
          <w:p>
            <w:pPr>
              <w:jc w:val="center"/>
              <w:rPr>
                <w:rFonts w:ascii="仿宋_GB2312" w:hAnsi="仿宋_GB2312" w:eastAsia="仿宋_GB2312" w:cs="仿宋_GB2312"/>
                <w:sz w:val="24"/>
              </w:rPr>
            </w:pPr>
          </w:p>
        </w:tc>
        <w:tc>
          <w:tcPr>
            <w:tcW w:w="1274"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实施村</w:t>
            </w:r>
          </w:p>
        </w:tc>
        <w:tc>
          <w:tcPr>
            <w:tcW w:w="1947" w:type="dxa"/>
            <w:vAlign w:val="center"/>
          </w:tcPr>
          <w:p>
            <w:pPr>
              <w:pStyle w:val="8"/>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实施对象</w:t>
            </w:r>
          </w:p>
          <w:p>
            <w:pPr>
              <w:pStyle w:val="8"/>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（示范户） </w:t>
            </w:r>
          </w:p>
          <w:p>
            <w:pPr>
              <w:pStyle w:val="8"/>
              <w:spacing w:line="440" w:lineRule="exact"/>
              <w:jc w:val="center"/>
              <w:rPr>
                <w:sz w:val="24"/>
              </w:rPr>
            </w:pPr>
            <w:r>
              <w:rPr>
                <w:rFonts w:hint="eastAsia" w:ascii="仿宋_GB2312" w:hAnsi="仿宋_GB2312" w:eastAsia="仿宋_GB2312" w:cs="仿宋_GB2312"/>
                <w:kern w:val="0"/>
                <w:sz w:val="24"/>
              </w:rPr>
              <w:t>户数（户）</w:t>
            </w:r>
          </w:p>
          <w:p>
            <w:pPr>
              <w:widowControl/>
              <w:tabs>
                <w:tab w:val="center" w:pos="4153"/>
                <w:tab w:val="right" w:pos="8306"/>
              </w:tabs>
              <w:snapToGrid w:val="0"/>
              <w:spacing w:line="200" w:lineRule="exact"/>
              <w:jc w:val="center"/>
              <w:rPr>
                <w:rFonts w:ascii="仿宋_GB2312" w:hAnsi="仿宋_GB2312" w:eastAsia="仿宋_GB2312" w:cs="仿宋_GB2312"/>
                <w:sz w:val="24"/>
              </w:rPr>
            </w:pPr>
          </w:p>
        </w:tc>
        <w:tc>
          <w:tcPr>
            <w:tcW w:w="1782" w:type="dxa"/>
            <w:vAlign w:val="center"/>
          </w:tcPr>
          <w:p>
            <w:pPr>
              <w:pStyle w:val="8"/>
              <w:spacing w:line="440" w:lineRule="exact"/>
              <w:jc w:val="center"/>
              <w:rPr>
                <w:sz w:val="24"/>
              </w:rPr>
            </w:pPr>
            <w:r>
              <w:rPr>
                <w:rFonts w:hint="eastAsia" w:ascii="仿宋_GB2312" w:hAnsi="仿宋_GB2312" w:eastAsia="仿宋_GB2312" w:cs="仿宋_GB2312"/>
                <w:kern w:val="0"/>
                <w:sz w:val="24"/>
              </w:rPr>
              <w:t>新会柑种植面积（亩）</w:t>
            </w:r>
          </w:p>
          <w:p>
            <w:pPr>
              <w:widowControl/>
              <w:tabs>
                <w:tab w:val="center" w:pos="4153"/>
                <w:tab w:val="right" w:pos="8306"/>
              </w:tabs>
              <w:snapToGrid w:val="0"/>
              <w:spacing w:line="200" w:lineRule="exact"/>
              <w:jc w:val="center"/>
              <w:rPr>
                <w:rFonts w:ascii="仿宋_GB2312" w:hAnsi="仿宋_GB2312" w:eastAsia="仿宋_GB2312" w:cs="仿宋_GB2312"/>
                <w:sz w:val="24"/>
              </w:rPr>
            </w:pPr>
          </w:p>
        </w:tc>
        <w:tc>
          <w:tcPr>
            <w:tcW w:w="2935" w:type="dxa"/>
            <w:vAlign w:val="center"/>
          </w:tcPr>
          <w:p>
            <w:pPr>
              <w:pStyle w:val="8"/>
              <w:spacing w:line="440" w:lineRule="exact"/>
              <w:jc w:val="center"/>
              <w:rPr>
                <w:sz w:val="24"/>
              </w:rPr>
            </w:pPr>
            <w:r>
              <w:rPr>
                <w:rFonts w:hint="eastAsia" w:ascii="仿宋_GB2312" w:hAnsi="仿宋_GB2312" w:eastAsia="仿宋_GB2312" w:cs="仿宋_GB2312"/>
                <w:kern w:val="0"/>
                <w:sz w:val="24"/>
              </w:rPr>
              <w:t>其中：通过我区扶持新会柑25度坡以下园地山坡地发展种植报备的面积（亩）</w:t>
            </w:r>
          </w:p>
          <w:p>
            <w:pPr>
              <w:widowControl/>
              <w:tabs>
                <w:tab w:val="center" w:pos="4153"/>
                <w:tab w:val="right" w:pos="8306"/>
              </w:tabs>
              <w:snapToGrid w:val="0"/>
              <w:spacing w:line="200" w:lineRule="exact"/>
              <w:jc w:val="center"/>
              <w:rPr>
                <w:rFonts w:ascii="仿宋_GB2312" w:hAnsi="仿宋_GB2312" w:eastAsia="仿宋_GB2312" w:cs="仿宋_GB2312"/>
                <w:sz w:val="24"/>
              </w:rPr>
            </w:pPr>
          </w:p>
        </w:tc>
        <w:tc>
          <w:tcPr>
            <w:tcW w:w="2295" w:type="dxa"/>
            <w:vMerge w:val="continue"/>
            <w:vAlign w:val="center"/>
          </w:tcPr>
          <w:p>
            <w:pPr>
              <w:widowControl/>
              <w:tabs>
                <w:tab w:val="center" w:pos="4153"/>
                <w:tab w:val="right" w:pos="8306"/>
              </w:tabs>
              <w:snapToGrid w:val="0"/>
              <w:jc w:val="center"/>
              <w:rPr>
                <w:rFonts w:ascii="仿宋_GB2312" w:hAnsi="仿宋_GB2312" w:eastAsia="仿宋_GB2312" w:cs="仿宋_GB2312"/>
                <w:sz w:val="24"/>
              </w:rPr>
            </w:pPr>
          </w:p>
        </w:tc>
        <w:tc>
          <w:tcPr>
            <w:tcW w:w="1482" w:type="dxa"/>
            <w:vMerge w:val="continue"/>
            <w:vAlign w:val="center"/>
          </w:tcPr>
          <w:p>
            <w:pPr>
              <w:widowControl/>
              <w:tabs>
                <w:tab w:val="center" w:pos="4153"/>
                <w:tab w:val="right" w:pos="8306"/>
              </w:tabs>
              <w:snapToGrid w:val="0"/>
              <w:jc w:val="center"/>
              <w:rPr>
                <w:rFonts w:ascii="仿宋_GB2312" w:hAnsi="仿宋_GB2312" w:eastAsia="仿宋_GB2312" w:cs="仿宋_GB2312"/>
                <w:sz w:val="24"/>
              </w:rPr>
            </w:pPr>
          </w:p>
        </w:tc>
        <w:tc>
          <w:tcPr>
            <w:tcW w:w="1414" w:type="dxa"/>
            <w:vMerge w:val="continue"/>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74" w:type="dxa"/>
            <w:vAlign w:val="center"/>
          </w:tcPr>
          <w:p>
            <w:pPr>
              <w:jc w:val="center"/>
              <w:rPr>
                <w:rFonts w:ascii="仿宋_GB2312" w:hAnsi="仿宋_GB2312" w:eastAsia="仿宋_GB2312" w:cs="仿宋_GB2312"/>
                <w:sz w:val="24"/>
              </w:rPr>
            </w:pPr>
          </w:p>
        </w:tc>
        <w:tc>
          <w:tcPr>
            <w:tcW w:w="1947" w:type="dxa"/>
            <w:vAlign w:val="center"/>
          </w:tcPr>
          <w:p>
            <w:pPr>
              <w:jc w:val="center"/>
              <w:rPr>
                <w:rFonts w:ascii="仿宋_GB2312" w:hAnsi="仿宋_GB2312" w:eastAsia="仿宋_GB2312" w:cs="仿宋_GB2312"/>
                <w:sz w:val="24"/>
              </w:rPr>
            </w:pPr>
          </w:p>
        </w:tc>
        <w:tc>
          <w:tcPr>
            <w:tcW w:w="1782" w:type="dxa"/>
            <w:vAlign w:val="center"/>
          </w:tcPr>
          <w:p>
            <w:pPr>
              <w:jc w:val="center"/>
              <w:rPr>
                <w:rFonts w:ascii="仿宋_GB2312" w:hAnsi="仿宋_GB2312" w:eastAsia="仿宋_GB2312" w:cs="仿宋_GB2312"/>
                <w:sz w:val="24"/>
              </w:rPr>
            </w:pPr>
          </w:p>
        </w:tc>
        <w:tc>
          <w:tcPr>
            <w:tcW w:w="2935" w:type="dxa"/>
            <w:vAlign w:val="center"/>
          </w:tcPr>
          <w:p>
            <w:pPr>
              <w:jc w:val="center"/>
              <w:rPr>
                <w:rFonts w:ascii="仿宋_GB2312" w:hAnsi="仿宋_GB2312" w:eastAsia="仿宋_GB2312" w:cs="仿宋_GB2312"/>
                <w:sz w:val="24"/>
              </w:rPr>
            </w:pPr>
          </w:p>
        </w:tc>
        <w:tc>
          <w:tcPr>
            <w:tcW w:w="2295" w:type="dxa"/>
            <w:vAlign w:val="center"/>
          </w:tcPr>
          <w:p>
            <w:pPr>
              <w:jc w:val="center"/>
              <w:rPr>
                <w:rFonts w:ascii="仿宋_GB2312" w:hAnsi="仿宋_GB2312" w:eastAsia="仿宋_GB2312" w:cs="仿宋_GB2312"/>
                <w:sz w:val="24"/>
              </w:rPr>
            </w:pPr>
          </w:p>
        </w:tc>
        <w:tc>
          <w:tcPr>
            <w:tcW w:w="1482" w:type="dxa"/>
            <w:vAlign w:val="center"/>
          </w:tcPr>
          <w:p>
            <w:pPr>
              <w:jc w:val="center"/>
              <w:rPr>
                <w:rFonts w:ascii="仿宋_GB2312" w:hAnsi="仿宋_GB2312" w:eastAsia="仿宋_GB2312" w:cs="仿宋_GB2312"/>
                <w:sz w:val="24"/>
              </w:rPr>
            </w:pPr>
          </w:p>
        </w:tc>
        <w:tc>
          <w:tcPr>
            <w:tcW w:w="1414"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74" w:type="dxa"/>
            <w:vAlign w:val="center"/>
          </w:tcPr>
          <w:p>
            <w:pPr>
              <w:jc w:val="center"/>
              <w:rPr>
                <w:rFonts w:ascii="仿宋_GB2312" w:hAnsi="仿宋_GB2312" w:eastAsia="仿宋_GB2312" w:cs="仿宋_GB2312"/>
                <w:sz w:val="24"/>
              </w:rPr>
            </w:pPr>
          </w:p>
        </w:tc>
        <w:tc>
          <w:tcPr>
            <w:tcW w:w="1947" w:type="dxa"/>
            <w:vAlign w:val="center"/>
          </w:tcPr>
          <w:p>
            <w:pPr>
              <w:jc w:val="center"/>
              <w:rPr>
                <w:rFonts w:ascii="仿宋_GB2312" w:hAnsi="仿宋_GB2312" w:eastAsia="仿宋_GB2312" w:cs="仿宋_GB2312"/>
                <w:sz w:val="24"/>
              </w:rPr>
            </w:pPr>
          </w:p>
        </w:tc>
        <w:tc>
          <w:tcPr>
            <w:tcW w:w="1782" w:type="dxa"/>
            <w:vAlign w:val="center"/>
          </w:tcPr>
          <w:p>
            <w:pPr>
              <w:jc w:val="center"/>
              <w:rPr>
                <w:rFonts w:ascii="仿宋_GB2312" w:hAnsi="仿宋_GB2312" w:eastAsia="仿宋_GB2312" w:cs="仿宋_GB2312"/>
                <w:sz w:val="24"/>
              </w:rPr>
            </w:pPr>
          </w:p>
        </w:tc>
        <w:tc>
          <w:tcPr>
            <w:tcW w:w="2935" w:type="dxa"/>
            <w:vAlign w:val="center"/>
          </w:tcPr>
          <w:p>
            <w:pPr>
              <w:jc w:val="center"/>
              <w:rPr>
                <w:rFonts w:ascii="仿宋_GB2312" w:hAnsi="仿宋_GB2312" w:eastAsia="仿宋_GB2312" w:cs="仿宋_GB2312"/>
                <w:sz w:val="24"/>
              </w:rPr>
            </w:pPr>
          </w:p>
        </w:tc>
        <w:tc>
          <w:tcPr>
            <w:tcW w:w="2295" w:type="dxa"/>
            <w:vAlign w:val="center"/>
          </w:tcPr>
          <w:p>
            <w:pPr>
              <w:jc w:val="center"/>
              <w:rPr>
                <w:rFonts w:ascii="仿宋_GB2312" w:hAnsi="仿宋_GB2312" w:eastAsia="仿宋_GB2312" w:cs="仿宋_GB2312"/>
                <w:sz w:val="24"/>
              </w:rPr>
            </w:pPr>
          </w:p>
        </w:tc>
        <w:tc>
          <w:tcPr>
            <w:tcW w:w="1482" w:type="dxa"/>
            <w:vAlign w:val="center"/>
          </w:tcPr>
          <w:p>
            <w:pPr>
              <w:jc w:val="center"/>
              <w:rPr>
                <w:rFonts w:ascii="仿宋_GB2312" w:hAnsi="仿宋_GB2312" w:eastAsia="仿宋_GB2312" w:cs="仿宋_GB2312"/>
                <w:sz w:val="24"/>
              </w:rPr>
            </w:pPr>
          </w:p>
        </w:tc>
        <w:tc>
          <w:tcPr>
            <w:tcW w:w="1414"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74" w:type="dxa"/>
            <w:vAlign w:val="center"/>
          </w:tcPr>
          <w:p>
            <w:pPr>
              <w:jc w:val="center"/>
              <w:rPr>
                <w:rFonts w:ascii="仿宋_GB2312" w:hAnsi="仿宋_GB2312" w:eastAsia="仿宋_GB2312" w:cs="仿宋_GB2312"/>
                <w:sz w:val="24"/>
              </w:rPr>
            </w:pPr>
          </w:p>
        </w:tc>
        <w:tc>
          <w:tcPr>
            <w:tcW w:w="1947" w:type="dxa"/>
            <w:vAlign w:val="center"/>
          </w:tcPr>
          <w:p>
            <w:pPr>
              <w:jc w:val="center"/>
              <w:rPr>
                <w:rFonts w:ascii="仿宋_GB2312" w:hAnsi="仿宋_GB2312" w:eastAsia="仿宋_GB2312" w:cs="仿宋_GB2312"/>
                <w:sz w:val="24"/>
              </w:rPr>
            </w:pPr>
          </w:p>
        </w:tc>
        <w:tc>
          <w:tcPr>
            <w:tcW w:w="1782" w:type="dxa"/>
            <w:vAlign w:val="center"/>
          </w:tcPr>
          <w:p>
            <w:pPr>
              <w:jc w:val="center"/>
              <w:rPr>
                <w:rFonts w:ascii="仿宋_GB2312" w:hAnsi="仿宋_GB2312" w:eastAsia="仿宋_GB2312" w:cs="仿宋_GB2312"/>
                <w:sz w:val="24"/>
              </w:rPr>
            </w:pPr>
          </w:p>
        </w:tc>
        <w:tc>
          <w:tcPr>
            <w:tcW w:w="2935" w:type="dxa"/>
            <w:vAlign w:val="center"/>
          </w:tcPr>
          <w:p>
            <w:pPr>
              <w:jc w:val="center"/>
              <w:rPr>
                <w:rFonts w:ascii="仿宋_GB2312" w:hAnsi="仿宋_GB2312" w:eastAsia="仿宋_GB2312" w:cs="仿宋_GB2312"/>
                <w:sz w:val="24"/>
              </w:rPr>
            </w:pPr>
          </w:p>
        </w:tc>
        <w:tc>
          <w:tcPr>
            <w:tcW w:w="2295" w:type="dxa"/>
            <w:vAlign w:val="center"/>
          </w:tcPr>
          <w:p>
            <w:pPr>
              <w:jc w:val="center"/>
              <w:rPr>
                <w:rFonts w:ascii="仿宋_GB2312" w:hAnsi="仿宋_GB2312" w:eastAsia="仿宋_GB2312" w:cs="仿宋_GB2312"/>
                <w:sz w:val="24"/>
              </w:rPr>
            </w:pPr>
          </w:p>
        </w:tc>
        <w:tc>
          <w:tcPr>
            <w:tcW w:w="1482" w:type="dxa"/>
            <w:vAlign w:val="center"/>
          </w:tcPr>
          <w:p>
            <w:pPr>
              <w:jc w:val="center"/>
              <w:rPr>
                <w:rFonts w:ascii="仿宋_GB2312" w:hAnsi="仿宋_GB2312" w:eastAsia="仿宋_GB2312" w:cs="仿宋_GB2312"/>
                <w:sz w:val="24"/>
              </w:rPr>
            </w:pPr>
          </w:p>
        </w:tc>
        <w:tc>
          <w:tcPr>
            <w:tcW w:w="1414"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2"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1947" w:type="dxa"/>
            <w:vAlign w:val="center"/>
          </w:tcPr>
          <w:p>
            <w:pPr>
              <w:jc w:val="center"/>
              <w:rPr>
                <w:rFonts w:ascii="仿宋_GB2312" w:hAnsi="仿宋_GB2312" w:eastAsia="仿宋_GB2312" w:cs="仿宋_GB2312"/>
                <w:sz w:val="24"/>
              </w:rPr>
            </w:pPr>
          </w:p>
        </w:tc>
        <w:tc>
          <w:tcPr>
            <w:tcW w:w="1782" w:type="dxa"/>
            <w:vAlign w:val="center"/>
          </w:tcPr>
          <w:p>
            <w:pPr>
              <w:jc w:val="center"/>
              <w:rPr>
                <w:rFonts w:ascii="仿宋_GB2312" w:hAnsi="仿宋_GB2312" w:eastAsia="仿宋_GB2312" w:cs="仿宋_GB2312"/>
                <w:sz w:val="24"/>
              </w:rPr>
            </w:pPr>
          </w:p>
        </w:tc>
        <w:tc>
          <w:tcPr>
            <w:tcW w:w="2935" w:type="dxa"/>
            <w:vAlign w:val="center"/>
          </w:tcPr>
          <w:p>
            <w:pPr>
              <w:jc w:val="center"/>
              <w:rPr>
                <w:rFonts w:ascii="仿宋_GB2312" w:hAnsi="仿宋_GB2312" w:eastAsia="仿宋_GB2312" w:cs="仿宋_GB2312"/>
                <w:sz w:val="24"/>
              </w:rPr>
            </w:pPr>
          </w:p>
        </w:tc>
        <w:tc>
          <w:tcPr>
            <w:tcW w:w="2295" w:type="dxa"/>
            <w:vAlign w:val="center"/>
          </w:tcPr>
          <w:p>
            <w:pPr>
              <w:jc w:val="center"/>
              <w:rPr>
                <w:rFonts w:ascii="仿宋_GB2312" w:hAnsi="仿宋_GB2312" w:eastAsia="仿宋_GB2312" w:cs="仿宋_GB2312"/>
                <w:sz w:val="24"/>
              </w:rPr>
            </w:pPr>
          </w:p>
        </w:tc>
        <w:tc>
          <w:tcPr>
            <w:tcW w:w="1482" w:type="dxa"/>
            <w:vAlign w:val="center"/>
          </w:tcPr>
          <w:p>
            <w:pPr>
              <w:jc w:val="center"/>
              <w:rPr>
                <w:rFonts w:ascii="仿宋_GB2312" w:hAnsi="仿宋_GB2312" w:eastAsia="仿宋_GB2312" w:cs="仿宋_GB2312"/>
                <w:sz w:val="24"/>
              </w:rPr>
            </w:pPr>
          </w:p>
        </w:tc>
        <w:tc>
          <w:tcPr>
            <w:tcW w:w="1414" w:type="dxa"/>
            <w:vAlign w:val="center"/>
          </w:tcPr>
          <w:p>
            <w:pPr>
              <w:jc w:val="center"/>
              <w:rPr>
                <w:rFonts w:ascii="仿宋_GB2312" w:hAnsi="仿宋_GB2312" w:eastAsia="仿宋_GB2312" w:cs="仿宋_GB2312"/>
                <w:sz w:val="24"/>
              </w:rPr>
            </w:pPr>
          </w:p>
        </w:tc>
      </w:tr>
    </w:tbl>
    <w:p>
      <w:pPr>
        <w:spacing w:line="520" w:lineRule="exact"/>
        <w:rPr>
          <w:rFonts w:ascii="仿宋_GB2312" w:hAnsi="仿宋_GB2312" w:eastAsia="仿宋_GB2312" w:cs="仿宋_GB2312"/>
          <w:sz w:val="32"/>
          <w:szCs w:val="32"/>
        </w:rPr>
        <w:sectPr>
          <w:pgSz w:w="16838" w:h="11905" w:orient="landscape"/>
          <w:pgMar w:top="1803" w:right="1440" w:bottom="1803" w:left="1440" w:header="851" w:footer="992" w:gutter="0"/>
          <w:cols w:space="0" w:num="1"/>
          <w:docGrid w:type="lines" w:linePitch="319"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2024年病虫害防控-江门新会区柑橘黄龙病防控示范项目创建柑橘黄龙病防控示范园</w:t>
      </w:r>
    </w:p>
    <w:p>
      <w:pPr>
        <w:adjustRightInd w:val="0"/>
        <w:snapToGrid w:val="0"/>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实施协议</w:t>
      </w:r>
    </w:p>
    <w:p>
      <w:pPr>
        <w:adjustRightInd w:val="0"/>
        <w:snapToGrid w:val="0"/>
        <w:spacing w:line="590" w:lineRule="exact"/>
        <w:jc w:val="center"/>
        <w:rPr>
          <w:rFonts w:ascii="仿宋" w:hAnsi="仿宋" w:eastAsia="仿宋" w:cs="仿宋"/>
          <w:sz w:val="32"/>
          <w:szCs w:val="32"/>
        </w:rPr>
      </w:pPr>
      <w:r>
        <w:rPr>
          <w:rFonts w:hint="eastAsia" w:ascii="仿宋" w:hAnsi="仿宋" w:eastAsia="仿宋" w:cs="仿宋"/>
          <w:sz w:val="32"/>
          <w:szCs w:val="32"/>
        </w:rPr>
        <w:t>（参考样本）</w:t>
      </w:r>
    </w:p>
    <w:p>
      <w:pPr>
        <w:adjustRightInd w:val="0"/>
        <w:snapToGrid w:val="0"/>
        <w:spacing w:line="590" w:lineRule="exact"/>
        <w:jc w:val="center"/>
        <w:rPr>
          <w:rFonts w:ascii="仿宋" w:hAnsi="仿宋" w:eastAsia="仿宋" w:cs="仿宋"/>
          <w:sz w:val="32"/>
          <w:szCs w:val="32"/>
        </w:rPr>
      </w:pP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镇（街）农业农村办公室</w:t>
      </w: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村委会</w:t>
      </w:r>
      <w:r>
        <w:rPr>
          <w:rFonts w:hint="eastAsia" w:ascii="仿宋" w:hAnsi="仿宋" w:eastAsia="仿宋" w:cs="仿宋"/>
          <w:sz w:val="32"/>
          <w:szCs w:val="32"/>
        </w:rPr>
        <w:t>（</w:t>
      </w:r>
      <w:r>
        <w:rPr>
          <w:rFonts w:hint="eastAsia" w:ascii="仿宋_GB2312" w:hAnsi="仿宋_GB2312" w:eastAsia="仿宋_GB2312" w:cs="仿宋_GB2312"/>
          <w:sz w:val="32"/>
          <w:szCs w:val="32"/>
        </w:rPr>
        <w:t>含示范户）</w:t>
      </w:r>
    </w:p>
    <w:p>
      <w:pPr>
        <w:adjustRightInd w:val="0"/>
        <w:snapToGrid w:val="0"/>
        <w:spacing w:line="590" w:lineRule="exact"/>
        <w:rPr>
          <w:rFonts w:ascii="仿宋_GB2312" w:hAnsi="仿宋_GB2312" w:eastAsia="仿宋_GB2312" w:cs="仿宋_GB2312"/>
          <w:sz w:val="32"/>
          <w:szCs w:val="32"/>
        </w:rPr>
      </w:pPr>
    </w:p>
    <w:p>
      <w:pPr>
        <w:widowControl/>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为切实实施好2024年病虫害防控-江门新会区柑橘黄龙病防控示范项目创建柑橘黄龙病防控示范园</w:t>
      </w:r>
      <w:r>
        <w:rPr>
          <w:rFonts w:hint="eastAsia" w:ascii="仿宋" w:hAnsi="仿宋" w:eastAsia="仿宋" w:cs="仿宋"/>
          <w:kern w:val="0"/>
          <w:sz w:val="32"/>
          <w:szCs w:val="32"/>
          <w:lang w:bidi="ar"/>
        </w:rPr>
        <w:t>（下称示范园）</w:t>
      </w:r>
      <w:r>
        <w:rPr>
          <w:rFonts w:hint="eastAsia" w:ascii="仿宋_GB2312" w:hAnsi="仿宋_GB2312" w:eastAsia="仿宋_GB2312" w:cs="仿宋_GB2312"/>
          <w:sz w:val="32"/>
          <w:szCs w:val="32"/>
        </w:rPr>
        <w:t>建设，按《2024年病虫害防控-江门新会区柑橘黄龙病防控示范项目实施方案》等要求，结合实际，经甲乙双方商议，协议如下：</w:t>
      </w:r>
    </w:p>
    <w:p>
      <w:pPr>
        <w:adjustRightInd w:val="0"/>
        <w:snapToGrid w:val="0"/>
        <w:spacing w:line="590" w:lineRule="exact"/>
        <w:ind w:firstLine="640" w:firstLineChars="200"/>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一、实施面积与区域。乙方自愿参加创建</w:t>
      </w:r>
      <w:r>
        <w:rPr>
          <w:rFonts w:hint="eastAsia" w:ascii="仿宋" w:hAnsi="仿宋" w:eastAsia="仿宋" w:cs="仿宋"/>
          <w:kern w:val="0"/>
          <w:sz w:val="32"/>
          <w:szCs w:val="32"/>
          <w:lang w:bidi="ar"/>
        </w:rPr>
        <w:t>示范园</w:t>
      </w:r>
      <w:r>
        <w:rPr>
          <w:rFonts w:hint="eastAsia" w:ascii="仿宋_GB2312" w:hAnsi="仿宋_GB2312" w:eastAsia="仿宋_GB2312" w:cs="仿宋_GB2312"/>
          <w:sz w:val="32"/>
          <w:szCs w:val="32"/>
        </w:rPr>
        <w:t>建设，同意将本村共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亩新会柑种植面积开展创建</w:t>
      </w:r>
      <w:r>
        <w:rPr>
          <w:rFonts w:hint="eastAsia" w:ascii="仿宋" w:hAnsi="仿宋" w:eastAsia="仿宋" w:cs="仿宋"/>
          <w:kern w:val="0"/>
          <w:sz w:val="32"/>
          <w:szCs w:val="32"/>
          <w:lang w:bidi="ar"/>
        </w:rPr>
        <w:t>示范园建设</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社会化服务</w:t>
      </w:r>
      <w:r>
        <w:rPr>
          <w:rFonts w:hint="eastAsia" w:ascii="仿宋_GB2312" w:hAnsi="仿宋_GB2312" w:eastAsia="仿宋_GB2312" w:cs="仿宋_GB2312"/>
          <w:sz w:val="32"/>
          <w:szCs w:val="32"/>
        </w:rPr>
        <w:t>，涉及示范户共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户。详见《2024年病虫害防控-江门新会区柑橘黄龙病防控示范项目</w:t>
      </w:r>
      <w:r>
        <w:rPr>
          <w:rFonts w:hint="eastAsia" w:ascii="仿宋" w:hAnsi="仿宋" w:eastAsia="仿宋" w:cs="仿宋"/>
          <w:kern w:val="0"/>
          <w:sz w:val="32"/>
          <w:szCs w:val="32"/>
          <w:lang w:bidi="ar"/>
        </w:rPr>
        <w:t>创建柑橘黄龙病防控示范园申报遴选推荐清册</w:t>
      </w:r>
      <w:r>
        <w:rPr>
          <w:rFonts w:hint="eastAsia" w:ascii="仿宋_GB2312" w:hAnsi="仿宋_GB2312" w:eastAsia="仿宋_GB2312" w:cs="仿宋_GB2312"/>
          <w:sz w:val="32"/>
          <w:szCs w:val="32"/>
        </w:rPr>
        <w:t>》。</w:t>
      </w:r>
    </w:p>
    <w:p>
      <w:pPr>
        <w:adjustRightInd w:val="0"/>
        <w:snapToGrid w:val="0"/>
        <w:spacing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二、实施期限。</w:t>
      </w:r>
      <w:r>
        <w:rPr>
          <w:rFonts w:hint="eastAsia" w:ascii="仿宋_GB2312" w:hAnsi="仿宋_GB2312" w:eastAsia="仿宋_GB2312" w:cs="仿宋_GB2312"/>
          <w:kern w:val="0"/>
          <w:sz w:val="32"/>
          <w:szCs w:val="32"/>
          <w:lang w:bidi="ar"/>
        </w:rPr>
        <w:t>由区农业农村局2024年公布确定示范园的实施区域和实施对象（含示范户）之日起至2025年10月31日止。</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三、实施方式。</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（一）在项目实施过程中，乙方同意由区农业农村局确定的中标供应商，按《2024年病虫害防控-江门新会区柑橘黄龙病防控示范项目实施方案》和社会化服务事项指标，对乙方开展社会化服务。</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（二）乙方同意配合甲方和中标供应商推进项目建设。</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四、本协议自甲乙双方签字或盖章之日起生效。项目实施期间因国家政策发生重大变化或调整导致不能执行本协议的，本协议自然终止或解除。</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五、本协议一式五份，甲方、乙方各执</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份，协议文本在本村、中标供应商和区农业农村局存档备查。</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六、未尽事宜，甲乙双方协商解决。</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pPr>
        <w:adjustRightInd w:val="0"/>
        <w:snapToGrid w:val="0"/>
        <w:spacing w:line="590" w:lineRule="exact"/>
        <w:ind w:left="5120" w:hanging="5120" w:hangingChars="1600"/>
        <w:rPr>
          <w:rFonts w:ascii="仿宋_GB2312" w:hAnsi="仿宋_GB2312" w:eastAsia="仿宋_GB2312" w:cs="仿宋_GB2312"/>
          <w:sz w:val="32"/>
          <w:szCs w:val="32"/>
        </w:rPr>
      </w:pPr>
      <w:r>
        <w:rPr>
          <w:rFonts w:hint="eastAsia" w:ascii="仿宋_GB2312" w:hAnsi="仿宋_GB2312" w:eastAsia="仿宋_GB2312" w:cs="仿宋_GB2312"/>
          <w:sz w:val="32"/>
          <w:szCs w:val="32"/>
        </w:rPr>
        <w:t>甲方主任签名：                乙方村主任签名：</w:t>
      </w:r>
    </w:p>
    <w:p>
      <w:pPr>
        <w:adjustRightInd w:val="0"/>
        <w:snapToGrid w:val="0"/>
        <w:spacing w:line="590" w:lineRule="exact"/>
        <w:rPr>
          <w:rFonts w:ascii="仿宋_GB2312" w:hAnsi="仿宋_GB2312" w:eastAsia="仿宋_GB2312" w:cs="仿宋_GB2312"/>
          <w:sz w:val="32"/>
          <w:szCs w:val="32"/>
        </w:rPr>
      </w:pPr>
    </w:p>
    <w:p>
      <w:pPr>
        <w:adjustRightInd w:val="0"/>
        <w:snapToGrid w:val="0"/>
        <w:spacing w:line="590" w:lineRule="exact"/>
        <w:rPr>
          <w:rFonts w:ascii="仿宋" w:hAnsi="仿宋" w:eastAsia="仿宋" w:cs="仿宋"/>
          <w:sz w:val="32"/>
          <w:szCs w:val="32"/>
        </w:rPr>
      </w:pPr>
    </w:p>
    <w:p>
      <w:pPr>
        <w:adjustRightInd w:val="0"/>
        <w:snapToGrid w:val="0"/>
        <w:spacing w:line="590" w:lineRule="exact"/>
        <w:rPr>
          <w:rFonts w:ascii="仿宋" w:hAnsi="仿宋" w:eastAsia="仿宋" w:cs="仿宋"/>
          <w:sz w:val="32"/>
          <w:szCs w:val="32"/>
        </w:rPr>
      </w:pPr>
    </w:p>
    <w:p>
      <w:pPr>
        <w:adjustRightInd w:val="0"/>
        <w:snapToGrid w:val="0"/>
        <w:spacing w:line="590" w:lineRule="exact"/>
        <w:rPr>
          <w:rFonts w:ascii="仿宋" w:hAnsi="仿宋" w:eastAsia="仿宋" w:cs="仿宋"/>
          <w:sz w:val="32"/>
          <w:szCs w:val="32"/>
        </w:rPr>
      </w:pPr>
      <w:r>
        <w:rPr>
          <w:rFonts w:hint="eastAsia" w:ascii="仿宋" w:hAnsi="仿宋" w:eastAsia="仿宋" w:cs="仿宋"/>
          <w:sz w:val="32"/>
          <w:szCs w:val="32"/>
        </w:rPr>
        <w:t>日期：                        日期：</w:t>
      </w:r>
    </w:p>
    <w:p>
      <w:pPr>
        <w:spacing w:line="520" w:lineRule="exact"/>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sectPr>
          <w:pgSz w:w="11905" w:h="16838"/>
          <w:pgMar w:top="1440" w:right="1803" w:bottom="1440" w:left="1803" w:header="851" w:footer="992" w:gutter="0"/>
          <w:cols w:space="0" w:num="1"/>
          <w:docGrid w:type="lines" w:linePitch="324" w:charSpace="0"/>
        </w:sect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adjustRightInd w:val="0"/>
        <w:snapToGrid w:val="0"/>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2024年病虫害防控-江门新会区柑橘黄龙病防控示范项目</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扶持培育柑橘无病苗圃繁育基地申报遴选推荐清册</w:t>
      </w:r>
    </w:p>
    <w:p>
      <w:pPr>
        <w:pStyle w:val="8"/>
      </w:pP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镇（街）农业农村办公室或主管部门（盖章）                         </w:t>
      </w:r>
    </w:p>
    <w:tbl>
      <w:tblPr>
        <w:tblStyle w:val="11"/>
        <w:tblW w:w="209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22"/>
        <w:gridCol w:w="1247"/>
        <w:gridCol w:w="1247"/>
        <w:gridCol w:w="1463"/>
        <w:gridCol w:w="2296"/>
        <w:gridCol w:w="1735"/>
        <w:gridCol w:w="1771"/>
        <w:gridCol w:w="1156"/>
        <w:gridCol w:w="1175"/>
        <w:gridCol w:w="1464"/>
        <w:gridCol w:w="1952"/>
        <w:gridCol w:w="151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5" w:type="dxa"/>
            <w:vMerge w:val="restart"/>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7675" w:type="dxa"/>
            <w:gridSpan w:val="5"/>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申报遴选推荐的</w:t>
            </w:r>
          </w:p>
        </w:tc>
        <w:tc>
          <w:tcPr>
            <w:tcW w:w="7301" w:type="dxa"/>
            <w:gridSpan w:val="5"/>
            <w:vAlign w:val="center"/>
          </w:tcPr>
          <w:p>
            <w:pPr>
              <w:widowControl/>
              <w:tabs>
                <w:tab w:val="center" w:pos="4153"/>
                <w:tab w:val="right" w:pos="8306"/>
              </w:tabs>
              <w:snapToGrid w:val="0"/>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是否符合以下5种情形</w:t>
            </w:r>
          </w:p>
        </w:tc>
        <w:tc>
          <w:tcPr>
            <w:tcW w:w="1952" w:type="dxa"/>
            <w:vMerge w:val="restart"/>
            <w:vAlign w:val="center"/>
          </w:tcPr>
          <w:p>
            <w:pPr>
              <w:spacing w:line="440" w:lineRule="exact"/>
              <w:jc w:val="center"/>
            </w:pPr>
            <w:r>
              <w:rPr>
                <w:rFonts w:hint="eastAsia" w:ascii="仿宋_GB2312" w:hAnsi="仿宋_GB2312" w:eastAsia="仿宋_GB2312" w:cs="仿宋_GB2312"/>
                <w:kern w:val="0"/>
                <w:sz w:val="24"/>
              </w:rPr>
              <w:t>是否同意与镇（街）农办或主管部门签订实施协议</w:t>
            </w:r>
          </w:p>
          <w:p>
            <w:pPr>
              <w:widowControl/>
              <w:tabs>
                <w:tab w:val="center" w:pos="4153"/>
                <w:tab w:val="right" w:pos="8306"/>
              </w:tabs>
              <w:snapToGrid w:val="0"/>
              <w:spacing w:line="240" w:lineRule="exact"/>
              <w:jc w:val="center"/>
              <w:rPr>
                <w:rFonts w:ascii="仿宋_GB2312" w:hAnsi="仿宋_GB2312" w:eastAsia="仿宋_GB2312" w:cs="仿宋_GB2312"/>
                <w:kern w:val="0"/>
                <w:sz w:val="24"/>
              </w:rPr>
            </w:pPr>
          </w:p>
        </w:tc>
        <w:tc>
          <w:tcPr>
            <w:tcW w:w="1518" w:type="dxa"/>
            <w:vMerge w:val="restart"/>
            <w:vAlign w:val="center"/>
          </w:tcPr>
          <w:p>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申报遴选推荐实施对象签字（指模）</w:t>
            </w:r>
          </w:p>
          <w:p>
            <w:pPr>
              <w:widowControl/>
              <w:tabs>
                <w:tab w:val="center" w:pos="4153"/>
                <w:tab w:val="right" w:pos="8306"/>
              </w:tabs>
              <w:snapToGrid w:val="0"/>
              <w:spacing w:line="240" w:lineRule="exact"/>
              <w:jc w:val="center"/>
              <w:rPr>
                <w:rFonts w:ascii="仿宋_GB2312" w:hAnsi="仿宋_GB2312" w:eastAsia="仿宋_GB2312" w:cs="仿宋_GB2312"/>
                <w:kern w:val="0"/>
                <w:sz w:val="24"/>
              </w:rPr>
            </w:pPr>
          </w:p>
        </w:tc>
        <w:tc>
          <w:tcPr>
            <w:tcW w:w="1915" w:type="dxa"/>
            <w:vMerge w:val="restart"/>
            <w:vAlign w:val="center"/>
          </w:tcPr>
          <w:p>
            <w:pPr>
              <w:widowControl/>
              <w:tabs>
                <w:tab w:val="center" w:pos="4153"/>
                <w:tab w:val="right" w:pos="8306"/>
              </w:tabs>
              <w:snapToGrid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申报遴选推荐的实施对象</w:t>
            </w:r>
          </w:p>
          <w:p>
            <w:pPr>
              <w:widowControl/>
              <w:tabs>
                <w:tab w:val="center" w:pos="4153"/>
                <w:tab w:val="right" w:pos="8306"/>
              </w:tabs>
              <w:snapToGrid w:val="0"/>
              <w:spacing w:line="440" w:lineRule="exact"/>
              <w:jc w:val="center"/>
            </w:pPr>
            <w:r>
              <w:rPr>
                <w:rFonts w:hint="eastAsia" w:ascii="仿宋_GB2312" w:hAnsi="仿宋_GB2312" w:eastAsia="仿宋_GB2312" w:cs="仿宋_GB2312"/>
                <w:kern w:val="0"/>
                <w:sz w:val="24"/>
              </w:rPr>
              <w:t>联系电话</w:t>
            </w:r>
          </w:p>
          <w:p>
            <w:pPr>
              <w:widowControl/>
              <w:tabs>
                <w:tab w:val="center" w:pos="4153"/>
                <w:tab w:val="right" w:pos="8306"/>
              </w:tabs>
              <w:snapToGrid w:val="0"/>
              <w:spacing w:line="24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635" w:type="dxa"/>
            <w:vMerge w:val="continue"/>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22" w:type="dxa"/>
            <w:vAlign w:val="center"/>
          </w:tcPr>
          <w:p>
            <w:pPr>
              <w:pStyle w:val="8"/>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实施对象</w:t>
            </w:r>
          </w:p>
          <w:p>
            <w:pPr>
              <w:pStyle w:val="8"/>
              <w:spacing w:line="440" w:lineRule="exact"/>
              <w:jc w:val="center"/>
            </w:pPr>
            <w:r>
              <w:rPr>
                <w:rFonts w:hint="eastAsia" w:ascii="仿宋_GB2312" w:hAnsi="仿宋_GB2312" w:eastAsia="仿宋_GB2312" w:cs="仿宋_GB2312"/>
                <w:kern w:val="0"/>
                <w:sz w:val="24"/>
              </w:rPr>
              <w:t>企业名称</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47"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企业性质</w:t>
            </w:r>
          </w:p>
        </w:tc>
        <w:tc>
          <w:tcPr>
            <w:tcW w:w="1247" w:type="dxa"/>
            <w:vAlign w:val="center"/>
          </w:tcPr>
          <w:p>
            <w:pPr>
              <w:spacing w:line="4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24"/>
              </w:rPr>
              <w:t>柑橘苗圃繁育面积（亩）</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63" w:type="dxa"/>
            <w:vAlign w:val="center"/>
          </w:tcPr>
          <w:p>
            <w:pPr>
              <w:pStyle w:val="8"/>
              <w:spacing w:line="440" w:lineRule="exact"/>
              <w:jc w:val="center"/>
            </w:pPr>
            <w:r>
              <w:rPr>
                <w:rFonts w:hint="eastAsia" w:ascii="仿宋_GB2312" w:hAnsi="仿宋_GB2312" w:eastAsia="仿宋_GB2312" w:cs="仿宋_GB2312"/>
                <w:kern w:val="0"/>
                <w:sz w:val="24"/>
              </w:rPr>
              <w:t>其中：防虫大棚面积（亩）</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96" w:type="dxa"/>
            <w:vAlign w:val="center"/>
          </w:tcPr>
          <w:p>
            <w:pPr>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实施基地地点</w:t>
            </w:r>
          </w:p>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24"/>
              </w:rPr>
              <w:t>（土名）</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735" w:type="dxa"/>
            <w:vAlign w:val="center"/>
          </w:tcPr>
          <w:p>
            <w:pPr>
              <w:pStyle w:val="8"/>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①持有《农作物种子生产经营许可证》，</w:t>
            </w:r>
          </w:p>
          <w:p>
            <w:pPr>
              <w:pStyle w:val="8"/>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生产经营范围柑橘的企业</w:t>
            </w:r>
          </w:p>
        </w:tc>
        <w:tc>
          <w:tcPr>
            <w:tcW w:w="1771" w:type="dxa"/>
            <w:vAlign w:val="center"/>
          </w:tcPr>
          <w:p>
            <w:pPr>
              <w:spacing w:line="4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24"/>
              </w:rPr>
              <w:t>②具备可在防虫大棚培育不少于4.5万株检疫合格的新会柑无病大苗的条件和能力</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56" w:type="dxa"/>
            <w:vAlign w:val="center"/>
          </w:tcPr>
          <w:p>
            <w:pPr>
              <w:spacing w:line="440" w:lineRule="exact"/>
            </w:pPr>
            <w:r>
              <w:rPr>
                <w:rFonts w:hint="eastAsia" w:ascii="仿宋_GB2312" w:hAnsi="仿宋_GB2312" w:eastAsia="仿宋_GB2312" w:cs="仿宋_GB2312"/>
                <w:kern w:val="0"/>
                <w:sz w:val="24"/>
              </w:rPr>
              <w:t>③不涉及耕地“非农化”</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75" w:type="dxa"/>
            <w:vAlign w:val="center"/>
          </w:tcPr>
          <w:p>
            <w:pPr>
              <w:pStyle w:val="8"/>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④不涉及耕地</w:t>
            </w:r>
          </w:p>
          <w:p>
            <w:pPr>
              <w:pStyle w:val="8"/>
              <w:spacing w:line="440" w:lineRule="exact"/>
            </w:pPr>
            <w:r>
              <w:rPr>
                <w:rFonts w:hint="eastAsia" w:ascii="仿宋_GB2312" w:hAnsi="仿宋_GB2312" w:eastAsia="仿宋_GB2312" w:cs="仿宋_GB2312"/>
                <w:kern w:val="0"/>
                <w:sz w:val="24"/>
              </w:rPr>
              <w:t>“非粮化”的</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64" w:type="dxa"/>
            <w:vAlign w:val="center"/>
          </w:tcPr>
          <w:p>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⑤持证以来没有发生新会柑苗经营质量问题的</w:t>
            </w:r>
          </w:p>
        </w:tc>
        <w:tc>
          <w:tcPr>
            <w:tcW w:w="1952" w:type="dxa"/>
            <w:vMerge w:val="continue"/>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518" w:type="dxa"/>
            <w:vMerge w:val="continue"/>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915" w:type="dxa"/>
            <w:vMerge w:val="continue"/>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635"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422"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47"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247" w:type="dxa"/>
            <w:vAlign w:val="center"/>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63"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2296"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73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771"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56"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17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464"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952"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518"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c>
          <w:tcPr>
            <w:tcW w:w="1915" w:type="dxa"/>
          </w:tcPr>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20996" w:type="dxa"/>
            <w:gridSpan w:val="14"/>
            <w:vAlign w:val="cente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镇（街）农办或主管部门意见：</w:t>
            </w:r>
          </w:p>
          <w:p/>
          <w:p>
            <w:pPr>
              <w:pStyle w:val="8"/>
            </w:pPr>
          </w:p>
          <w:p/>
          <w:p>
            <w:pPr>
              <w:pStyle w:val="8"/>
            </w:pPr>
          </w:p>
          <w:p/>
          <w:p>
            <w:pPr>
              <w:pStyle w:val="8"/>
            </w:pPr>
          </w:p>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经办人签字：                    农办主任或主管部门业务负责人签字：                    分管领导签字：</w:t>
            </w:r>
          </w:p>
          <w:p>
            <w:pPr>
              <w:pStyle w:val="8"/>
              <w:ind w:firstLine="9600" w:firstLineChars="3000"/>
              <w:rPr>
                <w:rFonts w:ascii="仿宋_GB2312" w:hAnsi="仿宋_GB2312" w:eastAsia="仿宋_GB2312" w:cs="仿宋_GB2312"/>
                <w:sz w:val="32"/>
                <w:szCs w:val="32"/>
              </w:rPr>
            </w:pPr>
            <w:r>
              <w:rPr>
                <w:rFonts w:hint="eastAsia" w:ascii="仿宋_GB2312" w:hAnsi="仿宋_GB2312" w:eastAsia="仿宋_GB2312" w:cs="仿宋_GB2312"/>
                <w:sz w:val="32"/>
                <w:szCs w:val="32"/>
              </w:rPr>
              <w:t>　　　　　　　　　　　　　　 2024年    月    日</w:t>
            </w:r>
          </w:p>
          <w:p>
            <w:pPr>
              <w:widowControl/>
              <w:tabs>
                <w:tab w:val="center" w:pos="4153"/>
                <w:tab w:val="right" w:pos="8306"/>
              </w:tabs>
              <w:snapToGrid w:val="0"/>
              <w:spacing w:line="200" w:lineRule="exact"/>
              <w:jc w:val="center"/>
              <w:rPr>
                <w:rFonts w:ascii="仿宋_GB2312" w:hAnsi="仿宋_GB2312" w:eastAsia="仿宋_GB2312" w:cs="仿宋_GB2312"/>
                <w:kern w:val="0"/>
                <w:sz w:val="24"/>
              </w:rPr>
            </w:pPr>
          </w:p>
        </w:tc>
      </w:tr>
    </w:tbl>
    <w:p>
      <w:pPr>
        <w:pStyle w:val="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注：此表的企业性质是指国有企业、集体所有制企业或民营企业。其中：企业性质属于国有企业或集体所有制企业的，由主管部门遴选推荐。</w:t>
      </w:r>
    </w:p>
    <w:p>
      <w:pPr>
        <w:rPr>
          <w:rFonts w:ascii="仿宋_GB2312" w:hAnsi="仿宋_GB2312" w:eastAsia="仿宋_GB2312" w:cs="仿宋_GB2312"/>
          <w:kern w:val="0"/>
          <w:sz w:val="32"/>
          <w:szCs w:val="32"/>
        </w:rPr>
      </w:pPr>
    </w:p>
    <w:p>
      <w:pPr>
        <w:pStyle w:val="8"/>
        <w:sectPr>
          <w:pgSz w:w="23811" w:h="16838" w:orient="landscape"/>
          <w:pgMar w:top="1701" w:right="1440" w:bottom="1417" w:left="1587" w:header="851" w:footer="992" w:gutter="0"/>
          <w:cols w:space="0" w:num="1"/>
          <w:docGrid w:type="lines" w:linePitch="330"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2024年病虫害防控-江门新会区柑橘黄龙病防控示范项目扶持培育柑橘无病苗圃繁育基地实施协议</w:t>
      </w:r>
    </w:p>
    <w:p>
      <w:pPr>
        <w:adjustRightInd w:val="0"/>
        <w:snapToGrid w:val="0"/>
        <w:spacing w:line="580" w:lineRule="exact"/>
        <w:jc w:val="center"/>
        <w:rPr>
          <w:rFonts w:ascii="仿宋" w:hAnsi="仿宋" w:eastAsia="仿宋" w:cs="仿宋"/>
          <w:sz w:val="32"/>
          <w:szCs w:val="32"/>
        </w:rPr>
      </w:pPr>
      <w:r>
        <w:rPr>
          <w:rFonts w:hint="eastAsia" w:ascii="仿宋" w:hAnsi="仿宋" w:eastAsia="仿宋" w:cs="仿宋"/>
          <w:sz w:val="32"/>
          <w:szCs w:val="32"/>
        </w:rPr>
        <w:t>（参考样本）</w:t>
      </w:r>
    </w:p>
    <w:p>
      <w:pPr>
        <w:adjustRightInd w:val="0"/>
        <w:snapToGrid w:val="0"/>
        <w:spacing w:line="580" w:lineRule="exact"/>
        <w:jc w:val="center"/>
        <w:rPr>
          <w:rFonts w:ascii="仿宋" w:hAnsi="仿宋" w:eastAsia="仿宋" w:cs="仿宋"/>
          <w:sz w:val="32"/>
          <w:szCs w:val="32"/>
        </w:rPr>
      </w:pPr>
    </w:p>
    <w:p>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镇（街）农业农村办公室或主管部门</w:t>
      </w:r>
    </w:p>
    <w:p>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实施对象的企业</w:t>
      </w:r>
    </w:p>
    <w:p>
      <w:pPr>
        <w:adjustRightInd w:val="0"/>
        <w:snapToGrid w:val="0"/>
        <w:spacing w:line="580" w:lineRule="exact"/>
        <w:rPr>
          <w:rFonts w:ascii="仿宋_GB2312" w:hAnsi="仿宋_GB2312" w:eastAsia="仿宋_GB2312" w:cs="仿宋_GB2312"/>
          <w:sz w:val="32"/>
          <w:szCs w:val="32"/>
        </w:rPr>
      </w:pP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为切实实施好2024年病虫害防控-江门新会区柑橘黄龙病防控示范项目扶持培育柑橘无病苗圃繁育基地（</w:t>
      </w:r>
      <w:r>
        <w:rPr>
          <w:rFonts w:hint="eastAsia" w:ascii="仿宋" w:hAnsi="仿宋" w:eastAsia="仿宋" w:cs="仿宋"/>
          <w:kern w:val="0"/>
          <w:sz w:val="32"/>
          <w:szCs w:val="32"/>
          <w:lang w:bidi="ar"/>
        </w:rPr>
        <w:t>下称无病苗圃繁育基地）</w:t>
      </w:r>
      <w:r>
        <w:rPr>
          <w:rFonts w:hint="eastAsia" w:ascii="仿宋_GB2312" w:hAnsi="仿宋_GB2312" w:eastAsia="仿宋_GB2312" w:cs="仿宋_GB2312"/>
          <w:sz w:val="32"/>
          <w:szCs w:val="32"/>
        </w:rPr>
        <w:t>建设，按《2024年病虫害防控-江门新会区柑橘黄龙病防控示范项目实施方案》等要求，结合实际，经甲乙双方商议，协议如下：</w:t>
      </w:r>
    </w:p>
    <w:p>
      <w:pPr>
        <w:adjustRightInd w:val="0"/>
        <w:snapToGrid w:val="0"/>
        <w:spacing w:line="58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一、实施面积与区域。乙方自愿参加创建</w:t>
      </w:r>
      <w:r>
        <w:rPr>
          <w:rFonts w:hint="eastAsia" w:ascii="仿宋" w:hAnsi="仿宋" w:eastAsia="仿宋" w:cs="仿宋"/>
          <w:kern w:val="0"/>
          <w:sz w:val="32"/>
          <w:szCs w:val="32"/>
          <w:lang w:bidi="ar"/>
        </w:rPr>
        <w:t>无病苗圃繁育基地</w:t>
      </w:r>
      <w:r>
        <w:rPr>
          <w:rFonts w:hint="eastAsia" w:ascii="仿宋_GB2312" w:hAnsi="仿宋_GB2312" w:eastAsia="仿宋_GB2312" w:cs="仿宋_GB2312"/>
          <w:sz w:val="32"/>
          <w:szCs w:val="32"/>
        </w:rPr>
        <w:t>建设，同意将本企业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亩柑橘苗圃繁育面积和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亩防虫大棚面积开展无病苗圃繁育基地建设的社会化服务，详见《2024年病虫害防控-江门新会区柑橘黄龙病防控示范项目扶持培育柑橘无病苗圃繁育基地</w:t>
      </w:r>
      <w:r>
        <w:rPr>
          <w:rFonts w:hint="eastAsia" w:ascii="仿宋" w:hAnsi="仿宋" w:eastAsia="仿宋" w:cs="仿宋"/>
          <w:kern w:val="0"/>
          <w:sz w:val="32"/>
          <w:szCs w:val="32"/>
          <w:lang w:bidi="ar"/>
        </w:rPr>
        <w:t>申报遴选推荐清册</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二、实施期限。</w:t>
      </w:r>
      <w:r>
        <w:rPr>
          <w:rFonts w:hint="eastAsia" w:ascii="仿宋_GB2312" w:hAnsi="仿宋_GB2312" w:eastAsia="仿宋_GB2312" w:cs="仿宋_GB2312"/>
          <w:kern w:val="0"/>
          <w:sz w:val="32"/>
          <w:szCs w:val="32"/>
          <w:lang w:bidi="ar"/>
        </w:rPr>
        <w:t>由区农业农村局2024年公布确定示范园的实施区域和实施对象之日起至2025年10月31日止。</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三、实施方式。</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（一）在项目实施过程中，乙方同意由区农业农村局确定的中标供应商，按《2024年病虫害防控-江门新会区柑橘黄龙病防控示范项目实施方案》和社会化服务事项指标，对乙方开展社会化服务。</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（二）乙方同意配合甲方和中标供应商推进项目建设。</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四、本协议自甲乙双方签字或盖章之日起生效。项目实施期间因国家政策发生重大变化或调整导致不能执行本协议的，本协议自然终止或解除。</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五、本协议一式五份，甲方、乙方各执</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rPr>
        <w:t>份，协议文本在本村、中标供应商和区农业农村局存档备查。</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六、未尽事宜，甲乙双方协商解决。</w:t>
      </w: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pPr>
        <w:adjustRightInd w:val="0"/>
        <w:snapToGrid w:val="0"/>
        <w:spacing w:line="580" w:lineRule="exact"/>
        <w:ind w:left="5120" w:hanging="5120" w:hangingChars="1600"/>
        <w:rPr>
          <w:rFonts w:ascii="仿宋_GB2312" w:hAnsi="仿宋_GB2312" w:eastAsia="仿宋_GB2312" w:cs="仿宋_GB2312"/>
          <w:sz w:val="32"/>
          <w:szCs w:val="32"/>
        </w:rPr>
      </w:pPr>
      <w:r>
        <w:rPr>
          <w:rFonts w:hint="eastAsia" w:ascii="仿宋_GB2312" w:hAnsi="仿宋_GB2312" w:eastAsia="仿宋_GB2312" w:cs="仿宋_GB2312"/>
          <w:sz w:val="32"/>
          <w:szCs w:val="32"/>
        </w:rPr>
        <w:t>甲方农办主任或主管</w:t>
      </w:r>
    </w:p>
    <w:p>
      <w:pPr>
        <w:adjustRightInd w:val="0"/>
        <w:snapToGrid w:val="0"/>
        <w:spacing w:line="580" w:lineRule="exact"/>
        <w:ind w:left="5120" w:hanging="5120" w:hangingChars="1600"/>
        <w:rPr>
          <w:rFonts w:ascii="仿宋_GB2312" w:hAnsi="仿宋_GB2312" w:eastAsia="仿宋_GB2312" w:cs="仿宋_GB2312"/>
          <w:sz w:val="32"/>
          <w:szCs w:val="32"/>
        </w:rPr>
      </w:pPr>
      <w:r>
        <w:rPr>
          <w:rFonts w:hint="eastAsia" w:ascii="仿宋_GB2312" w:hAnsi="仿宋_GB2312" w:eastAsia="仿宋_GB2312" w:cs="仿宋_GB2312"/>
          <w:sz w:val="32"/>
          <w:szCs w:val="32"/>
        </w:rPr>
        <w:t>部门业务负责人签名：        乙方企业法人签名：</w:t>
      </w:r>
    </w:p>
    <w:p>
      <w:pPr>
        <w:adjustRightInd w:val="0"/>
        <w:snapToGrid w:val="0"/>
        <w:spacing w:line="580" w:lineRule="exact"/>
        <w:rPr>
          <w:rFonts w:ascii="仿宋_GB2312" w:hAnsi="仿宋_GB2312" w:eastAsia="仿宋_GB2312" w:cs="仿宋_GB2312"/>
          <w:sz w:val="32"/>
          <w:szCs w:val="32"/>
        </w:rPr>
      </w:pPr>
    </w:p>
    <w:p>
      <w:pPr>
        <w:adjustRightInd w:val="0"/>
        <w:snapToGrid w:val="0"/>
        <w:spacing w:line="580" w:lineRule="exact"/>
        <w:rPr>
          <w:rFonts w:ascii="仿宋" w:hAnsi="仿宋" w:eastAsia="仿宋" w:cs="仿宋"/>
          <w:sz w:val="32"/>
          <w:szCs w:val="32"/>
        </w:rPr>
      </w:pPr>
    </w:p>
    <w:p>
      <w:pPr>
        <w:adjustRightInd w:val="0"/>
        <w:snapToGrid w:val="0"/>
        <w:spacing w:line="580" w:lineRule="exact"/>
        <w:rPr>
          <w:rFonts w:ascii="仿宋" w:hAnsi="仿宋" w:eastAsia="仿宋" w:cs="仿宋"/>
          <w:sz w:val="32"/>
          <w:szCs w:val="32"/>
        </w:rPr>
      </w:pPr>
    </w:p>
    <w:p>
      <w:pPr>
        <w:adjustRightInd w:val="0"/>
        <w:snapToGrid w:val="0"/>
        <w:spacing w:line="580" w:lineRule="exact"/>
        <w:rPr>
          <w:rFonts w:ascii="仿宋" w:hAnsi="仿宋" w:eastAsia="仿宋" w:cs="仿宋"/>
          <w:sz w:val="32"/>
          <w:szCs w:val="32"/>
        </w:rPr>
      </w:pPr>
      <w:r>
        <w:rPr>
          <w:rFonts w:hint="eastAsia" w:ascii="仿宋" w:hAnsi="仿宋" w:eastAsia="仿宋" w:cs="仿宋"/>
          <w:sz w:val="32"/>
          <w:szCs w:val="32"/>
        </w:rPr>
        <w:t>日期：                        日期：</w:t>
      </w:r>
    </w:p>
    <w:p>
      <w:pPr>
        <w:spacing w:line="580" w:lineRule="exact"/>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spacing w:line="400" w:lineRule="exact"/>
      </w:pPr>
    </w:p>
    <w:sectPr>
      <w:pgSz w:w="11905"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TYyZTQ5OGUwYTQyNmY2MzIyMjY1Yjc4YTQxODkifQ=="/>
  </w:docVars>
  <w:rsids>
    <w:rsidRoot w:val="5AA7338B"/>
    <w:rsid w:val="00021B80"/>
    <w:rsid w:val="00022574"/>
    <w:rsid w:val="00057AF1"/>
    <w:rsid w:val="000C6901"/>
    <w:rsid w:val="00170B42"/>
    <w:rsid w:val="001F465A"/>
    <w:rsid w:val="00224F82"/>
    <w:rsid w:val="004B4C7B"/>
    <w:rsid w:val="006220FD"/>
    <w:rsid w:val="00685101"/>
    <w:rsid w:val="006B78A9"/>
    <w:rsid w:val="00707DE4"/>
    <w:rsid w:val="00711B3D"/>
    <w:rsid w:val="0078045D"/>
    <w:rsid w:val="007A0A62"/>
    <w:rsid w:val="007D60F7"/>
    <w:rsid w:val="008104F9"/>
    <w:rsid w:val="008444D1"/>
    <w:rsid w:val="008B4419"/>
    <w:rsid w:val="00A12741"/>
    <w:rsid w:val="00B72D93"/>
    <w:rsid w:val="00B73A4E"/>
    <w:rsid w:val="00B84CF0"/>
    <w:rsid w:val="00B94554"/>
    <w:rsid w:val="00BC69A0"/>
    <w:rsid w:val="00C151D4"/>
    <w:rsid w:val="00C67176"/>
    <w:rsid w:val="00CA7634"/>
    <w:rsid w:val="00CF3632"/>
    <w:rsid w:val="00DE2734"/>
    <w:rsid w:val="00DE45F0"/>
    <w:rsid w:val="00F33DF3"/>
    <w:rsid w:val="00F37B42"/>
    <w:rsid w:val="00F43582"/>
    <w:rsid w:val="00F55ECD"/>
    <w:rsid w:val="00FA519F"/>
    <w:rsid w:val="01293E55"/>
    <w:rsid w:val="0173247E"/>
    <w:rsid w:val="01D91895"/>
    <w:rsid w:val="01F80B5B"/>
    <w:rsid w:val="02005A7B"/>
    <w:rsid w:val="0228435D"/>
    <w:rsid w:val="038E65C8"/>
    <w:rsid w:val="04081595"/>
    <w:rsid w:val="04C74740"/>
    <w:rsid w:val="04F23C4D"/>
    <w:rsid w:val="05A750B2"/>
    <w:rsid w:val="05A8335C"/>
    <w:rsid w:val="05D62709"/>
    <w:rsid w:val="05F9572F"/>
    <w:rsid w:val="0617553A"/>
    <w:rsid w:val="06986B36"/>
    <w:rsid w:val="074A53D1"/>
    <w:rsid w:val="07750484"/>
    <w:rsid w:val="07A92F1B"/>
    <w:rsid w:val="07BC1640"/>
    <w:rsid w:val="08790580"/>
    <w:rsid w:val="08BE4197"/>
    <w:rsid w:val="08EE4303"/>
    <w:rsid w:val="091B7AF9"/>
    <w:rsid w:val="099C0BAD"/>
    <w:rsid w:val="0A3B3CCE"/>
    <w:rsid w:val="0B2A31BD"/>
    <w:rsid w:val="0B545BEF"/>
    <w:rsid w:val="0BE83C89"/>
    <w:rsid w:val="0BEB73A5"/>
    <w:rsid w:val="0D8B686B"/>
    <w:rsid w:val="0DA6012B"/>
    <w:rsid w:val="0E1A2C21"/>
    <w:rsid w:val="0E5057A7"/>
    <w:rsid w:val="108E3427"/>
    <w:rsid w:val="120604F9"/>
    <w:rsid w:val="127203E1"/>
    <w:rsid w:val="12E84200"/>
    <w:rsid w:val="130F4B5F"/>
    <w:rsid w:val="137A7BF0"/>
    <w:rsid w:val="13E420EA"/>
    <w:rsid w:val="14C1601C"/>
    <w:rsid w:val="15682D92"/>
    <w:rsid w:val="16915DC3"/>
    <w:rsid w:val="18CB037E"/>
    <w:rsid w:val="197B7EDA"/>
    <w:rsid w:val="19B04F22"/>
    <w:rsid w:val="1A4C3B7E"/>
    <w:rsid w:val="1CC50880"/>
    <w:rsid w:val="1D3913FB"/>
    <w:rsid w:val="1D6D50D7"/>
    <w:rsid w:val="1E1B192D"/>
    <w:rsid w:val="1F02489B"/>
    <w:rsid w:val="1F283657"/>
    <w:rsid w:val="1FD554C2"/>
    <w:rsid w:val="202C6073"/>
    <w:rsid w:val="20BA1C97"/>
    <w:rsid w:val="20D210EE"/>
    <w:rsid w:val="21032010"/>
    <w:rsid w:val="21C36B97"/>
    <w:rsid w:val="21C57D1D"/>
    <w:rsid w:val="230C0884"/>
    <w:rsid w:val="234E0E48"/>
    <w:rsid w:val="23A54119"/>
    <w:rsid w:val="23E539A2"/>
    <w:rsid w:val="23E619B7"/>
    <w:rsid w:val="246A3E84"/>
    <w:rsid w:val="25A309A1"/>
    <w:rsid w:val="265D4B84"/>
    <w:rsid w:val="268A3F86"/>
    <w:rsid w:val="26D2703B"/>
    <w:rsid w:val="277359D1"/>
    <w:rsid w:val="27892F16"/>
    <w:rsid w:val="2807534E"/>
    <w:rsid w:val="283C0F3D"/>
    <w:rsid w:val="28CD62DF"/>
    <w:rsid w:val="2949464A"/>
    <w:rsid w:val="29B34AB7"/>
    <w:rsid w:val="29CA572E"/>
    <w:rsid w:val="2A5D247A"/>
    <w:rsid w:val="2AFC79E9"/>
    <w:rsid w:val="2B4D039D"/>
    <w:rsid w:val="2B594C46"/>
    <w:rsid w:val="2B7D721A"/>
    <w:rsid w:val="2B952ED0"/>
    <w:rsid w:val="2C94532E"/>
    <w:rsid w:val="2CD755B9"/>
    <w:rsid w:val="2D0B0DBF"/>
    <w:rsid w:val="2D6F57F1"/>
    <w:rsid w:val="2DB1166D"/>
    <w:rsid w:val="2DEE4968"/>
    <w:rsid w:val="2F781D0D"/>
    <w:rsid w:val="2F8129AA"/>
    <w:rsid w:val="2FFF01D6"/>
    <w:rsid w:val="30670D63"/>
    <w:rsid w:val="32D67E8D"/>
    <w:rsid w:val="32F3657D"/>
    <w:rsid w:val="335F7E08"/>
    <w:rsid w:val="34F62354"/>
    <w:rsid w:val="360A35C3"/>
    <w:rsid w:val="37F63C12"/>
    <w:rsid w:val="39590B76"/>
    <w:rsid w:val="3B32098C"/>
    <w:rsid w:val="3BEF2CF9"/>
    <w:rsid w:val="3C1E0B0E"/>
    <w:rsid w:val="3D1D39FA"/>
    <w:rsid w:val="3E597007"/>
    <w:rsid w:val="3EBF4F75"/>
    <w:rsid w:val="3FC472B8"/>
    <w:rsid w:val="40037229"/>
    <w:rsid w:val="40C41DEE"/>
    <w:rsid w:val="41682307"/>
    <w:rsid w:val="41F35F31"/>
    <w:rsid w:val="432E46A3"/>
    <w:rsid w:val="437A4182"/>
    <w:rsid w:val="43FE4F29"/>
    <w:rsid w:val="44281703"/>
    <w:rsid w:val="44CE7546"/>
    <w:rsid w:val="451F6FE6"/>
    <w:rsid w:val="46341203"/>
    <w:rsid w:val="468770E0"/>
    <w:rsid w:val="468C6D90"/>
    <w:rsid w:val="46D628E0"/>
    <w:rsid w:val="482254E2"/>
    <w:rsid w:val="485764CE"/>
    <w:rsid w:val="489C1FC6"/>
    <w:rsid w:val="48B545A9"/>
    <w:rsid w:val="49696315"/>
    <w:rsid w:val="49EA0A46"/>
    <w:rsid w:val="4B054C4F"/>
    <w:rsid w:val="4B4672EE"/>
    <w:rsid w:val="4B9A3F0E"/>
    <w:rsid w:val="4C506F27"/>
    <w:rsid w:val="4CC97D23"/>
    <w:rsid w:val="4CD62D3F"/>
    <w:rsid w:val="4D022DEC"/>
    <w:rsid w:val="4DAC3984"/>
    <w:rsid w:val="4DCB42FA"/>
    <w:rsid w:val="4E5438ED"/>
    <w:rsid w:val="4E612ADD"/>
    <w:rsid w:val="4F090747"/>
    <w:rsid w:val="4F0C3D75"/>
    <w:rsid w:val="4F9A3DBF"/>
    <w:rsid w:val="4FB05245"/>
    <w:rsid w:val="4FE4098C"/>
    <w:rsid w:val="52F41C2A"/>
    <w:rsid w:val="52FD6F36"/>
    <w:rsid w:val="54A50B39"/>
    <w:rsid w:val="54A82C2A"/>
    <w:rsid w:val="54FB3533"/>
    <w:rsid w:val="55C86FD9"/>
    <w:rsid w:val="55D122F6"/>
    <w:rsid w:val="564F41B7"/>
    <w:rsid w:val="5693171A"/>
    <w:rsid w:val="571130D0"/>
    <w:rsid w:val="578A6C00"/>
    <w:rsid w:val="57C84636"/>
    <w:rsid w:val="58694A68"/>
    <w:rsid w:val="58840E20"/>
    <w:rsid w:val="58BE1257"/>
    <w:rsid w:val="59AE2310"/>
    <w:rsid w:val="5A3A0259"/>
    <w:rsid w:val="5AA3789A"/>
    <w:rsid w:val="5AA7338B"/>
    <w:rsid w:val="5AE038A7"/>
    <w:rsid w:val="5B6F70A4"/>
    <w:rsid w:val="5F397773"/>
    <w:rsid w:val="5F5A1B1F"/>
    <w:rsid w:val="5F8D632A"/>
    <w:rsid w:val="607876C1"/>
    <w:rsid w:val="60A631B2"/>
    <w:rsid w:val="60C85AB3"/>
    <w:rsid w:val="6138009E"/>
    <w:rsid w:val="630F26B0"/>
    <w:rsid w:val="635A795D"/>
    <w:rsid w:val="63E33CF5"/>
    <w:rsid w:val="640A111A"/>
    <w:rsid w:val="641937E6"/>
    <w:rsid w:val="64D94B70"/>
    <w:rsid w:val="652C3B59"/>
    <w:rsid w:val="65802870"/>
    <w:rsid w:val="663A3330"/>
    <w:rsid w:val="665E3D52"/>
    <w:rsid w:val="67047D18"/>
    <w:rsid w:val="67702147"/>
    <w:rsid w:val="683B4A25"/>
    <w:rsid w:val="6960597F"/>
    <w:rsid w:val="69DD3414"/>
    <w:rsid w:val="6A025EBD"/>
    <w:rsid w:val="6A180656"/>
    <w:rsid w:val="6A406977"/>
    <w:rsid w:val="6A9E67F3"/>
    <w:rsid w:val="6B1906BD"/>
    <w:rsid w:val="6B6A0DCB"/>
    <w:rsid w:val="6BFC6303"/>
    <w:rsid w:val="6CD10828"/>
    <w:rsid w:val="6D503F4F"/>
    <w:rsid w:val="6D91612E"/>
    <w:rsid w:val="6F1167A7"/>
    <w:rsid w:val="6F3757AB"/>
    <w:rsid w:val="6F451933"/>
    <w:rsid w:val="6F533D11"/>
    <w:rsid w:val="6F8A54EE"/>
    <w:rsid w:val="7052198E"/>
    <w:rsid w:val="706E6BF2"/>
    <w:rsid w:val="70A71B8D"/>
    <w:rsid w:val="711A4CAB"/>
    <w:rsid w:val="71A33193"/>
    <w:rsid w:val="71C43B3E"/>
    <w:rsid w:val="71DD14ED"/>
    <w:rsid w:val="729055BB"/>
    <w:rsid w:val="72910649"/>
    <w:rsid w:val="73E36192"/>
    <w:rsid w:val="74F44A35"/>
    <w:rsid w:val="75384FC9"/>
    <w:rsid w:val="75492139"/>
    <w:rsid w:val="75842DFC"/>
    <w:rsid w:val="75C062C9"/>
    <w:rsid w:val="77065CC6"/>
    <w:rsid w:val="77115ABD"/>
    <w:rsid w:val="77F01246"/>
    <w:rsid w:val="788D1915"/>
    <w:rsid w:val="78AA0A59"/>
    <w:rsid w:val="78ED1F71"/>
    <w:rsid w:val="78FE30C7"/>
    <w:rsid w:val="79647C47"/>
    <w:rsid w:val="79C95BBE"/>
    <w:rsid w:val="7ACC2BB6"/>
    <w:rsid w:val="7B627153"/>
    <w:rsid w:val="7B930F25"/>
    <w:rsid w:val="7CC52305"/>
    <w:rsid w:val="7D3D748E"/>
    <w:rsid w:val="7D6133EC"/>
    <w:rsid w:val="7E724C49"/>
    <w:rsid w:val="7EC479B4"/>
    <w:rsid w:val="7EEC77AB"/>
    <w:rsid w:val="7FBC6CA8"/>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Date"/>
    <w:basedOn w:val="1"/>
    <w:next w:val="1"/>
    <w:link w:val="21"/>
    <w:autoRedefine/>
    <w:qFormat/>
    <w:uiPriority w:val="0"/>
    <w:pPr>
      <w:ind w:left="100" w:leftChars="2500"/>
    </w:pPr>
  </w:style>
  <w:style w:type="paragraph" w:styleId="5">
    <w:name w:val="Balloon Text"/>
    <w:basedOn w:val="1"/>
    <w:link w:val="16"/>
    <w:autoRedefine/>
    <w:qFormat/>
    <w:uiPriority w:val="0"/>
    <w:rPr>
      <w:sz w:val="18"/>
      <w:szCs w:val="18"/>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99"/>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3"/>
    <w:next w:val="3"/>
    <w:link w:val="20"/>
    <w:autoRedefine/>
    <w:qFormat/>
    <w:uiPriority w:val="0"/>
    <w:rPr>
      <w:b/>
      <w:bCs/>
    </w:rPr>
  </w:style>
  <w:style w:type="character" w:styleId="13">
    <w:name w:val="Strong"/>
    <w:basedOn w:val="12"/>
    <w:autoRedefine/>
    <w:qFormat/>
    <w:uiPriority w:val="22"/>
    <w:rPr>
      <w:b/>
      <w:bCs/>
    </w:rPr>
  </w:style>
  <w:style w:type="character" w:styleId="14">
    <w:name w:val="annotation reference"/>
    <w:basedOn w:val="12"/>
    <w:autoRedefine/>
    <w:qFormat/>
    <w:uiPriority w:val="0"/>
    <w:rPr>
      <w:sz w:val="21"/>
      <w:szCs w:val="21"/>
    </w:rPr>
  </w:style>
  <w:style w:type="paragraph" w:customStyle="1" w:styleId="15">
    <w:name w:val="western"/>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批注框文本 Char"/>
    <w:basedOn w:val="12"/>
    <w:link w:val="5"/>
    <w:autoRedefine/>
    <w:qFormat/>
    <w:uiPriority w:val="0"/>
    <w:rPr>
      <w:rFonts w:asciiTheme="minorHAnsi" w:hAnsiTheme="minorHAnsi" w:eastAsiaTheme="minorEastAsia" w:cstheme="minorBidi"/>
      <w:kern w:val="2"/>
      <w:sz w:val="18"/>
      <w:szCs w:val="18"/>
    </w:rPr>
  </w:style>
  <w:style w:type="character" w:customStyle="1" w:styleId="17">
    <w:name w:val="页眉 Char"/>
    <w:basedOn w:val="12"/>
    <w:link w:val="7"/>
    <w:autoRedefine/>
    <w:qFormat/>
    <w:uiPriority w:val="0"/>
    <w:rPr>
      <w:rFonts w:asciiTheme="minorHAnsi" w:hAnsiTheme="minorHAnsi" w:eastAsiaTheme="minorEastAsia" w:cstheme="minorBidi"/>
      <w:kern w:val="2"/>
      <w:sz w:val="18"/>
      <w:szCs w:val="18"/>
    </w:rPr>
  </w:style>
  <w:style w:type="character" w:customStyle="1" w:styleId="18">
    <w:name w:val="页脚 Char"/>
    <w:basedOn w:val="12"/>
    <w:link w:val="6"/>
    <w:autoRedefine/>
    <w:qFormat/>
    <w:uiPriority w:val="0"/>
    <w:rPr>
      <w:rFonts w:asciiTheme="minorHAnsi" w:hAnsiTheme="minorHAnsi" w:eastAsiaTheme="minorEastAsia" w:cstheme="minorBidi"/>
      <w:kern w:val="2"/>
      <w:sz w:val="18"/>
      <w:szCs w:val="18"/>
    </w:rPr>
  </w:style>
  <w:style w:type="character" w:customStyle="1" w:styleId="19">
    <w:name w:val="批注文字 Char"/>
    <w:basedOn w:val="12"/>
    <w:link w:val="3"/>
    <w:autoRedefine/>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10"/>
    <w:autoRedefine/>
    <w:qFormat/>
    <w:uiPriority w:val="0"/>
    <w:rPr>
      <w:rFonts w:asciiTheme="minorHAnsi" w:hAnsiTheme="minorHAnsi" w:eastAsiaTheme="minorEastAsia" w:cstheme="minorBidi"/>
      <w:b/>
      <w:bCs/>
      <w:kern w:val="2"/>
      <w:sz w:val="21"/>
      <w:szCs w:val="24"/>
    </w:rPr>
  </w:style>
  <w:style w:type="character" w:customStyle="1" w:styleId="21">
    <w:name w:val="日期 Char"/>
    <w:basedOn w:val="12"/>
    <w:link w:val="4"/>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6295</Words>
  <Characters>6523</Characters>
  <Lines>53</Lines>
  <Paragraphs>15</Paragraphs>
  <TotalTime>19</TotalTime>
  <ScaleCrop>false</ScaleCrop>
  <LinksUpToDate>false</LinksUpToDate>
  <CharactersWithSpaces>7220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2024-06-13T07:15:00Z</dcterms:created>
  <dc:creator>Administrator</dc:creator>
  <cp:lastModifiedBy>NGKASIN</cp:lastModifiedBy>
  <dcterms:modified xsi:type="dcterms:W3CDTF">2024-07-23T02:53:21Z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ED92AB51086B4F71A7A19C9E20096B7D_13</vt:lpwstr>
  </property>
</Properties>
</file>