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0C0D">
      <w:pPr>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1</w:t>
      </w:r>
      <w:bookmarkStart w:id="3" w:name="_GoBack"/>
      <w:bookmarkEnd w:id="3"/>
    </w:p>
    <w:p w14:paraId="545A2783">
      <w:pPr>
        <w:spacing w:line="500" w:lineRule="exact"/>
        <w:jc w:val="center"/>
        <w:rPr>
          <w:sz w:val="44"/>
          <w:szCs w:val="44"/>
        </w:rPr>
      </w:pPr>
    </w:p>
    <w:p w14:paraId="2536853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江门市新会区标定地价的基本内容</w:t>
      </w:r>
    </w:p>
    <w:p w14:paraId="2C26EB78">
      <w:pPr>
        <w:spacing w:line="500" w:lineRule="exact"/>
        <w:ind w:firstLine="640" w:firstLineChars="200"/>
      </w:pPr>
    </w:p>
    <w:p w14:paraId="5C079790">
      <w:pPr>
        <w:spacing w:line="560" w:lineRule="exact"/>
        <w:ind w:firstLine="640" w:firstLineChars="200"/>
        <w:rPr>
          <w:sz w:val="32"/>
          <w:szCs w:val="32"/>
        </w:rPr>
      </w:pPr>
      <w:r>
        <w:rPr>
          <w:rFonts w:hint="eastAsia"/>
          <w:sz w:val="32"/>
          <w:szCs w:val="32"/>
        </w:rPr>
        <w:t>一、本次公示的江门市新会区202</w:t>
      </w:r>
      <w:r>
        <w:rPr>
          <w:sz w:val="32"/>
          <w:szCs w:val="32"/>
        </w:rPr>
        <w:t>3</w:t>
      </w:r>
      <w:r>
        <w:rPr>
          <w:rFonts w:hint="eastAsia"/>
          <w:sz w:val="32"/>
          <w:szCs w:val="32"/>
        </w:rPr>
        <w:t>年国有建设用地标定地价体系建设项目（以下简称</w:t>
      </w:r>
      <w:bookmarkStart w:id="0" w:name="_Hlk82537394"/>
      <w:r>
        <w:rPr>
          <w:rFonts w:hint="eastAsia"/>
          <w:sz w:val="32"/>
          <w:szCs w:val="32"/>
        </w:rPr>
        <w:t>202</w:t>
      </w:r>
      <w:r>
        <w:rPr>
          <w:sz w:val="32"/>
          <w:szCs w:val="32"/>
        </w:rPr>
        <w:t>3</w:t>
      </w:r>
      <w:r>
        <w:rPr>
          <w:rFonts w:hint="eastAsia"/>
          <w:sz w:val="32"/>
          <w:szCs w:val="32"/>
        </w:rPr>
        <w:t>年标定地价项目</w:t>
      </w:r>
      <w:bookmarkEnd w:id="0"/>
      <w:r>
        <w:rPr>
          <w:rFonts w:hint="eastAsia"/>
          <w:sz w:val="32"/>
          <w:szCs w:val="32"/>
        </w:rPr>
        <w:t>）的公示范围为会城街道、大鳌镇、大泽镇、古井镇、罗坑镇、睦洲镇、三江镇、沙堆镇、双水镇、司前镇和崖门镇</w:t>
      </w:r>
      <w:r>
        <w:rPr>
          <w:rFonts w:hint="eastAsia"/>
          <w:sz w:val="32"/>
          <w:szCs w:val="32"/>
          <w:lang w:val="en-US" w:eastAsia="zh-CN"/>
        </w:rPr>
        <w:t>共</w:t>
      </w:r>
      <w:r>
        <w:rPr>
          <w:rFonts w:hint="eastAsia"/>
          <w:sz w:val="32"/>
          <w:szCs w:val="32"/>
        </w:rPr>
        <w:t>十一个镇（街道）范围内由</w:t>
      </w:r>
      <w:r>
        <w:rPr>
          <w:sz w:val="32"/>
          <w:szCs w:val="32"/>
        </w:rPr>
        <w:t>83</w:t>
      </w:r>
      <w:r>
        <w:rPr>
          <w:rFonts w:hint="eastAsia"/>
          <w:sz w:val="32"/>
          <w:szCs w:val="32"/>
        </w:rPr>
        <w:t>个标定区域连接构成的空间范围</w:t>
      </w:r>
      <w:bookmarkStart w:id="1" w:name="_Hlk82598018"/>
      <w:r>
        <w:rPr>
          <w:rFonts w:hint="eastAsia"/>
          <w:sz w:val="32"/>
          <w:szCs w:val="32"/>
        </w:rPr>
        <w:t>，公示范围土地面积共</w:t>
      </w:r>
      <w:r>
        <w:rPr>
          <w:sz w:val="32"/>
          <w:szCs w:val="32"/>
        </w:rPr>
        <w:t>106.58</w:t>
      </w:r>
      <w:r>
        <w:rPr>
          <w:rFonts w:hint="eastAsia"/>
          <w:sz w:val="32"/>
          <w:szCs w:val="32"/>
        </w:rPr>
        <w:t>平方公里。</w:t>
      </w:r>
      <w:bookmarkEnd w:id="1"/>
    </w:p>
    <w:p w14:paraId="330826ED">
      <w:pPr>
        <w:spacing w:line="560" w:lineRule="exact"/>
        <w:ind w:firstLine="640" w:firstLineChars="200"/>
        <w:rPr>
          <w:sz w:val="32"/>
          <w:szCs w:val="32"/>
        </w:rPr>
      </w:pPr>
      <w:r>
        <w:rPr>
          <w:rFonts w:hint="eastAsia"/>
          <w:sz w:val="32"/>
          <w:szCs w:val="32"/>
        </w:rPr>
        <w:t>二、本次202</w:t>
      </w:r>
      <w:r>
        <w:rPr>
          <w:sz w:val="32"/>
          <w:szCs w:val="32"/>
        </w:rPr>
        <w:t>3</w:t>
      </w:r>
      <w:r>
        <w:rPr>
          <w:rFonts w:hint="eastAsia"/>
          <w:sz w:val="32"/>
          <w:szCs w:val="32"/>
        </w:rPr>
        <w:t>年标定地价项目主要用地类型包括商服用地、住宅用地、商住混合用地、工业用地、公共管理与公共服务用地、公用设施用地共六种用途分类。</w:t>
      </w:r>
    </w:p>
    <w:p w14:paraId="75E2914F">
      <w:pPr>
        <w:spacing w:line="560" w:lineRule="exact"/>
        <w:ind w:firstLine="640" w:firstLineChars="200"/>
        <w:rPr>
          <w:sz w:val="32"/>
          <w:szCs w:val="32"/>
        </w:rPr>
      </w:pPr>
      <w:r>
        <w:rPr>
          <w:rFonts w:hint="eastAsia"/>
          <w:sz w:val="32"/>
          <w:szCs w:val="32"/>
        </w:rPr>
        <w:t>三、商服用地的标准宗地</w:t>
      </w:r>
      <w:r>
        <w:rPr>
          <w:rFonts w:hint="eastAsia"/>
          <w:sz w:val="32"/>
          <w:szCs w:val="32"/>
          <w:lang w:val="en-US" w:eastAsia="zh-CN"/>
        </w:rPr>
        <w:t>价格表现形式</w:t>
      </w:r>
      <w:r>
        <w:rPr>
          <w:rFonts w:hint="eastAsia"/>
          <w:sz w:val="32"/>
          <w:szCs w:val="32"/>
        </w:rPr>
        <w:t>包括平均楼面地价</w:t>
      </w:r>
      <w:r>
        <w:rPr>
          <w:rFonts w:hint="eastAsia"/>
          <w:sz w:val="32"/>
          <w:szCs w:val="32"/>
          <w:lang w:eastAsia="zh-CN"/>
        </w:rPr>
        <w:t>、</w:t>
      </w:r>
      <w:r>
        <w:rPr>
          <w:rFonts w:hint="eastAsia"/>
          <w:sz w:val="32"/>
          <w:szCs w:val="32"/>
        </w:rPr>
        <w:t>地面地价</w:t>
      </w:r>
      <w:r>
        <w:rPr>
          <w:rFonts w:hint="eastAsia"/>
          <w:sz w:val="32"/>
          <w:szCs w:val="32"/>
          <w:lang w:eastAsia="zh-CN"/>
        </w:rPr>
        <w:t>、</w:t>
      </w:r>
      <w:r>
        <w:rPr>
          <w:rFonts w:hint="eastAsia"/>
          <w:sz w:val="32"/>
          <w:szCs w:val="32"/>
          <w:lang w:val="en-US" w:eastAsia="zh-CN"/>
        </w:rPr>
        <w:t>商业</w:t>
      </w:r>
      <w:r>
        <w:rPr>
          <w:rFonts w:hint="eastAsia"/>
          <w:sz w:val="32"/>
          <w:szCs w:val="32"/>
        </w:rPr>
        <w:t>首层楼面地价</w:t>
      </w:r>
      <w:r>
        <w:rPr>
          <w:rFonts w:hint="eastAsia"/>
          <w:sz w:val="32"/>
          <w:szCs w:val="32"/>
          <w:lang w:val="en-US" w:eastAsia="zh-CN"/>
        </w:rPr>
        <w:t>和旅馆（公寓）楼面地价</w:t>
      </w:r>
      <w:r>
        <w:rPr>
          <w:rFonts w:hint="eastAsia"/>
          <w:sz w:val="32"/>
          <w:szCs w:val="32"/>
        </w:rPr>
        <w:t>，商住混合用地的标准宗地</w:t>
      </w:r>
      <w:r>
        <w:rPr>
          <w:rFonts w:hint="eastAsia"/>
          <w:sz w:val="32"/>
          <w:szCs w:val="32"/>
          <w:lang w:val="en-US" w:eastAsia="zh-CN"/>
        </w:rPr>
        <w:t>价格表现形式</w:t>
      </w:r>
      <w:r>
        <w:rPr>
          <w:rFonts w:hint="eastAsia"/>
          <w:sz w:val="32"/>
          <w:szCs w:val="32"/>
        </w:rPr>
        <w:t>为平均楼面地价</w:t>
      </w:r>
      <w:r>
        <w:rPr>
          <w:rFonts w:hint="eastAsia"/>
          <w:sz w:val="32"/>
          <w:szCs w:val="32"/>
          <w:lang w:eastAsia="zh-CN"/>
        </w:rPr>
        <w:t>、</w:t>
      </w:r>
      <w:r>
        <w:rPr>
          <w:rFonts w:hint="eastAsia"/>
          <w:sz w:val="32"/>
          <w:szCs w:val="32"/>
        </w:rPr>
        <w:t>地面地价</w:t>
      </w:r>
      <w:r>
        <w:rPr>
          <w:rFonts w:hint="eastAsia"/>
          <w:sz w:val="32"/>
          <w:szCs w:val="32"/>
          <w:lang w:eastAsia="zh-CN"/>
        </w:rPr>
        <w:t>、</w:t>
      </w:r>
      <w:r>
        <w:rPr>
          <w:rFonts w:hint="eastAsia"/>
          <w:sz w:val="32"/>
          <w:szCs w:val="32"/>
          <w:lang w:val="en-US" w:eastAsia="zh-CN"/>
        </w:rPr>
        <w:t>商业</w:t>
      </w:r>
      <w:r>
        <w:rPr>
          <w:rFonts w:hint="eastAsia"/>
          <w:sz w:val="32"/>
          <w:szCs w:val="32"/>
        </w:rPr>
        <w:t>首层楼面地价、住宅楼面地价</w:t>
      </w:r>
      <w:r>
        <w:rPr>
          <w:rFonts w:hint="eastAsia"/>
          <w:sz w:val="32"/>
          <w:szCs w:val="32"/>
          <w:lang w:val="en-US" w:eastAsia="zh-CN"/>
        </w:rPr>
        <w:t>和低密度住宅楼面地价</w:t>
      </w:r>
      <w:r>
        <w:rPr>
          <w:rFonts w:hint="eastAsia"/>
          <w:sz w:val="32"/>
          <w:szCs w:val="32"/>
        </w:rPr>
        <w:t>，工业用地和公用设施用地的标准宗地</w:t>
      </w:r>
      <w:r>
        <w:rPr>
          <w:rFonts w:hint="eastAsia"/>
          <w:sz w:val="32"/>
          <w:szCs w:val="32"/>
          <w:lang w:val="en-US" w:eastAsia="zh-CN"/>
        </w:rPr>
        <w:t>价格表现形式</w:t>
      </w:r>
      <w:r>
        <w:rPr>
          <w:rFonts w:hint="eastAsia"/>
          <w:sz w:val="32"/>
          <w:szCs w:val="32"/>
        </w:rPr>
        <w:t>为地面地价，其余标准宗地</w:t>
      </w:r>
      <w:r>
        <w:rPr>
          <w:rFonts w:hint="eastAsia"/>
          <w:sz w:val="32"/>
          <w:szCs w:val="32"/>
          <w:lang w:val="en-US" w:eastAsia="zh-CN"/>
        </w:rPr>
        <w:t>价格表现形式为</w:t>
      </w:r>
      <w:r>
        <w:rPr>
          <w:rFonts w:hint="eastAsia"/>
          <w:sz w:val="32"/>
          <w:szCs w:val="32"/>
        </w:rPr>
        <w:t>平均楼面地价和地面地价，价格单位为元/平方米，币种为人民币。各用途标定地价的内涵见下表：</w:t>
      </w:r>
    </w:p>
    <w:p w14:paraId="57C9E6B3">
      <w:pPr>
        <w:pStyle w:val="17"/>
        <w:keepNext/>
        <w:widowControl w:val="0"/>
        <w:adjustRightInd w:val="0"/>
        <w:snapToGrid w:val="0"/>
        <w:spacing w:before="219" w:beforeLines="50"/>
        <w:rPr>
          <w:rFonts w:ascii="Times New Roman" w:hAnsi="Times New Roman"/>
          <w:sz w:val="28"/>
        </w:rPr>
      </w:pPr>
      <w:bookmarkStart w:id="2" w:name="_Hlk82598131"/>
    </w:p>
    <w:p w14:paraId="36369561">
      <w:pPr>
        <w:pStyle w:val="17"/>
        <w:keepNext/>
        <w:widowControl w:val="0"/>
        <w:adjustRightInd w:val="0"/>
        <w:snapToGrid w:val="0"/>
        <w:spacing w:before="219" w:beforeLines="50"/>
        <w:rPr>
          <w:rFonts w:ascii="Times New Roman" w:hAnsi="Times New Roman"/>
          <w:sz w:val="28"/>
        </w:rPr>
      </w:pPr>
      <w:r>
        <w:rPr>
          <w:rFonts w:ascii="Times New Roman" w:hAnsi="Times New Roman"/>
          <w:sz w:val="28"/>
        </w:rPr>
        <w:t>表</w:t>
      </w:r>
      <w:r>
        <w:rPr>
          <w:rFonts w:hint="eastAsia" w:ascii="Times New Roman" w:hAnsi="Times New Roman"/>
          <w:sz w:val="28"/>
        </w:rPr>
        <w:t>1</w:t>
      </w:r>
      <w:bookmarkEnd w:id="2"/>
      <w:r>
        <w:rPr>
          <w:rFonts w:ascii="Times New Roman" w:hAnsi="Times New Roman"/>
          <w:sz w:val="28"/>
        </w:rPr>
        <w:t xml:space="preserve">  标定地价内涵表</w:t>
      </w:r>
    </w:p>
    <w:tbl>
      <w:tblPr>
        <w:tblStyle w:val="7"/>
        <w:tblW w:w="5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833"/>
        <w:gridCol w:w="1308"/>
        <w:gridCol w:w="1776"/>
        <w:gridCol w:w="1296"/>
        <w:gridCol w:w="1428"/>
        <w:gridCol w:w="1215"/>
      </w:tblGrid>
      <w:tr w14:paraId="1233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656" w:type="pct"/>
            <w:tcBorders>
              <w:top w:val="single" w:color="auto" w:sz="4" w:space="0"/>
              <w:left w:val="single" w:color="auto" w:sz="4" w:space="0"/>
              <w:bottom w:val="single" w:color="auto" w:sz="4" w:space="0"/>
              <w:right w:val="single" w:color="auto" w:sz="4" w:space="0"/>
              <w:tl2br w:val="single" w:color="auto" w:sz="4" w:space="0"/>
            </w:tcBorders>
            <w:vAlign w:val="center"/>
          </w:tcPr>
          <w:p w14:paraId="7EB93BD6">
            <w:pPr>
              <w:keepNext/>
              <w:keepLines/>
              <w:adjustRightInd w:val="0"/>
              <w:snapToGrid w:val="0"/>
              <w:jc w:val="right"/>
              <w:rPr>
                <w:b/>
                <w:sz w:val="24"/>
                <w:szCs w:val="24"/>
              </w:rPr>
            </w:pPr>
            <w:r>
              <w:rPr>
                <w:rFonts w:hint="eastAsia"/>
                <w:b/>
                <w:sz w:val="24"/>
                <w:szCs w:val="24"/>
              </w:rPr>
              <w:t>宗地</w:t>
            </w:r>
          </w:p>
          <w:p w14:paraId="23397A21">
            <w:pPr>
              <w:keepNext/>
              <w:keepLines/>
              <w:adjustRightInd w:val="0"/>
              <w:snapToGrid w:val="0"/>
              <w:jc w:val="right"/>
              <w:rPr>
                <w:b/>
                <w:sz w:val="24"/>
                <w:szCs w:val="24"/>
              </w:rPr>
            </w:pPr>
            <w:r>
              <w:rPr>
                <w:b/>
                <w:sz w:val="24"/>
                <w:szCs w:val="24"/>
              </w:rPr>
              <w:t>用途</w:t>
            </w:r>
          </w:p>
          <w:p w14:paraId="6F0F015A">
            <w:pPr>
              <w:keepNext/>
              <w:keepLines/>
              <w:adjustRightInd w:val="0"/>
              <w:snapToGrid w:val="0"/>
              <w:jc w:val="left"/>
              <w:rPr>
                <w:b/>
                <w:sz w:val="24"/>
                <w:szCs w:val="24"/>
              </w:rPr>
            </w:pPr>
            <w:r>
              <w:rPr>
                <w:b/>
                <w:sz w:val="24"/>
                <w:szCs w:val="24"/>
              </w:rPr>
              <w:t>项目</w:t>
            </w:r>
          </w:p>
        </w:tc>
        <w:tc>
          <w:tcPr>
            <w:tcW w:w="899" w:type="pct"/>
            <w:tcBorders>
              <w:top w:val="single" w:color="auto" w:sz="4" w:space="0"/>
              <w:left w:val="single" w:color="auto" w:sz="4" w:space="0"/>
              <w:bottom w:val="single" w:color="auto" w:sz="4" w:space="0"/>
              <w:right w:val="single" w:color="auto" w:sz="4" w:space="0"/>
            </w:tcBorders>
            <w:vAlign w:val="center"/>
          </w:tcPr>
          <w:p w14:paraId="2DB3D0D5">
            <w:pPr>
              <w:keepNext/>
              <w:keepLines/>
              <w:adjustRightInd w:val="0"/>
              <w:snapToGrid w:val="0"/>
              <w:jc w:val="center"/>
              <w:rPr>
                <w:b/>
                <w:sz w:val="24"/>
                <w:szCs w:val="24"/>
              </w:rPr>
            </w:pPr>
            <w:r>
              <w:rPr>
                <w:rFonts w:hint="eastAsia"/>
                <w:b/>
                <w:sz w:val="24"/>
                <w:szCs w:val="24"/>
              </w:rPr>
              <w:t>商服用地</w:t>
            </w:r>
          </w:p>
        </w:tc>
        <w:tc>
          <w:tcPr>
            <w:tcW w:w="641" w:type="pct"/>
            <w:tcBorders>
              <w:top w:val="single" w:color="auto" w:sz="4" w:space="0"/>
              <w:left w:val="single" w:color="auto" w:sz="4" w:space="0"/>
              <w:bottom w:val="single" w:color="auto" w:sz="4" w:space="0"/>
              <w:right w:val="single" w:color="auto" w:sz="4" w:space="0"/>
            </w:tcBorders>
            <w:vAlign w:val="center"/>
          </w:tcPr>
          <w:p w14:paraId="665F4E06">
            <w:pPr>
              <w:keepNext/>
              <w:keepLines/>
              <w:adjustRightInd w:val="0"/>
              <w:snapToGrid w:val="0"/>
              <w:jc w:val="center"/>
              <w:rPr>
                <w:b/>
                <w:sz w:val="24"/>
                <w:szCs w:val="24"/>
              </w:rPr>
            </w:pPr>
            <w:r>
              <w:rPr>
                <w:rFonts w:hint="eastAsia"/>
                <w:b/>
                <w:sz w:val="24"/>
                <w:szCs w:val="24"/>
              </w:rPr>
              <w:t>住宅用地</w:t>
            </w:r>
          </w:p>
        </w:tc>
        <w:tc>
          <w:tcPr>
            <w:tcW w:w="871" w:type="pct"/>
            <w:tcBorders>
              <w:top w:val="single" w:color="auto" w:sz="4" w:space="0"/>
              <w:left w:val="single" w:color="auto" w:sz="4" w:space="0"/>
              <w:bottom w:val="single" w:color="auto" w:sz="4" w:space="0"/>
              <w:right w:val="single" w:color="auto" w:sz="4" w:space="0"/>
            </w:tcBorders>
            <w:vAlign w:val="center"/>
          </w:tcPr>
          <w:p w14:paraId="7141236E">
            <w:pPr>
              <w:keepNext/>
              <w:keepLines/>
              <w:adjustRightInd w:val="0"/>
              <w:snapToGrid w:val="0"/>
              <w:jc w:val="center"/>
              <w:rPr>
                <w:b/>
                <w:sz w:val="24"/>
                <w:szCs w:val="24"/>
              </w:rPr>
            </w:pPr>
            <w:r>
              <w:rPr>
                <w:rFonts w:hint="eastAsia"/>
                <w:b/>
                <w:sz w:val="24"/>
                <w:szCs w:val="24"/>
              </w:rPr>
              <w:t>商住混合用地</w:t>
            </w:r>
          </w:p>
        </w:tc>
        <w:tc>
          <w:tcPr>
            <w:tcW w:w="635" w:type="pct"/>
            <w:tcBorders>
              <w:top w:val="single" w:color="auto" w:sz="4" w:space="0"/>
              <w:left w:val="single" w:color="auto" w:sz="4" w:space="0"/>
              <w:bottom w:val="single" w:color="auto" w:sz="4" w:space="0"/>
              <w:right w:val="single" w:color="auto" w:sz="4" w:space="0"/>
            </w:tcBorders>
            <w:vAlign w:val="center"/>
          </w:tcPr>
          <w:p w14:paraId="6AF91856">
            <w:pPr>
              <w:keepNext/>
              <w:keepLines/>
              <w:adjustRightInd w:val="0"/>
              <w:snapToGrid w:val="0"/>
              <w:jc w:val="center"/>
              <w:rPr>
                <w:b/>
                <w:sz w:val="24"/>
                <w:szCs w:val="24"/>
              </w:rPr>
            </w:pPr>
            <w:r>
              <w:rPr>
                <w:rFonts w:hint="eastAsia"/>
                <w:b/>
                <w:sz w:val="24"/>
                <w:szCs w:val="24"/>
              </w:rPr>
              <w:t>工业用地</w:t>
            </w:r>
          </w:p>
        </w:tc>
        <w:tc>
          <w:tcPr>
            <w:tcW w:w="700" w:type="pct"/>
            <w:tcBorders>
              <w:top w:val="single" w:color="auto" w:sz="4" w:space="0"/>
              <w:left w:val="single" w:color="auto" w:sz="4" w:space="0"/>
              <w:bottom w:val="single" w:color="auto" w:sz="4" w:space="0"/>
              <w:right w:val="single" w:color="auto" w:sz="4" w:space="0"/>
            </w:tcBorders>
            <w:vAlign w:val="center"/>
          </w:tcPr>
          <w:p w14:paraId="7127924D">
            <w:pPr>
              <w:keepNext/>
              <w:keepLines/>
              <w:adjustRightInd w:val="0"/>
              <w:snapToGrid w:val="0"/>
              <w:jc w:val="center"/>
              <w:rPr>
                <w:b/>
                <w:sz w:val="24"/>
                <w:szCs w:val="24"/>
              </w:rPr>
            </w:pPr>
            <w:r>
              <w:rPr>
                <w:rFonts w:hint="eastAsia"/>
                <w:b/>
                <w:sz w:val="24"/>
                <w:szCs w:val="24"/>
              </w:rPr>
              <w:t>公共管理与公共服务用地</w:t>
            </w:r>
          </w:p>
        </w:tc>
        <w:tc>
          <w:tcPr>
            <w:tcW w:w="595" w:type="pct"/>
            <w:tcBorders>
              <w:top w:val="single" w:color="auto" w:sz="4" w:space="0"/>
              <w:left w:val="single" w:color="auto" w:sz="4" w:space="0"/>
              <w:bottom w:val="single" w:color="auto" w:sz="4" w:space="0"/>
              <w:right w:val="single" w:color="auto" w:sz="4" w:space="0"/>
            </w:tcBorders>
            <w:vAlign w:val="center"/>
          </w:tcPr>
          <w:p w14:paraId="162485F1">
            <w:pPr>
              <w:keepNext/>
              <w:keepLines/>
              <w:adjustRightInd w:val="0"/>
              <w:snapToGrid w:val="0"/>
              <w:jc w:val="center"/>
              <w:rPr>
                <w:b/>
                <w:sz w:val="24"/>
                <w:szCs w:val="24"/>
              </w:rPr>
            </w:pPr>
            <w:r>
              <w:rPr>
                <w:rFonts w:hint="eastAsia"/>
                <w:b/>
                <w:sz w:val="24"/>
                <w:szCs w:val="24"/>
              </w:rPr>
              <w:t>公用设施用地</w:t>
            </w:r>
          </w:p>
        </w:tc>
      </w:tr>
      <w:tr w14:paraId="57DB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504565DA">
            <w:pPr>
              <w:adjustRightInd w:val="0"/>
              <w:snapToGrid w:val="0"/>
              <w:jc w:val="center"/>
              <w:rPr>
                <w:sz w:val="24"/>
                <w:szCs w:val="24"/>
              </w:rPr>
            </w:pPr>
            <w:r>
              <w:rPr>
                <w:sz w:val="24"/>
                <w:szCs w:val="24"/>
              </w:rPr>
              <w:t>估价期日</w:t>
            </w:r>
          </w:p>
        </w:tc>
        <w:tc>
          <w:tcPr>
            <w:tcW w:w="4343" w:type="pct"/>
            <w:gridSpan w:val="6"/>
            <w:tcBorders>
              <w:top w:val="single" w:color="auto" w:sz="4" w:space="0"/>
              <w:left w:val="single" w:color="auto" w:sz="4" w:space="0"/>
              <w:right w:val="single" w:color="auto" w:sz="4" w:space="0"/>
            </w:tcBorders>
            <w:vAlign w:val="center"/>
          </w:tcPr>
          <w:p w14:paraId="11612BD9">
            <w:pPr>
              <w:adjustRightInd w:val="0"/>
              <w:snapToGrid w:val="0"/>
              <w:jc w:val="center"/>
              <w:rPr>
                <w:sz w:val="24"/>
                <w:szCs w:val="24"/>
              </w:rPr>
            </w:pPr>
            <w:r>
              <w:rPr>
                <w:sz w:val="24"/>
                <w:szCs w:val="24"/>
              </w:rPr>
              <w:t>2023年1月1日</w:t>
            </w:r>
          </w:p>
        </w:tc>
      </w:tr>
      <w:tr w14:paraId="059C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285B5DD0">
            <w:pPr>
              <w:adjustRightInd w:val="0"/>
              <w:snapToGrid w:val="0"/>
              <w:jc w:val="center"/>
              <w:rPr>
                <w:sz w:val="24"/>
                <w:szCs w:val="24"/>
              </w:rPr>
            </w:pPr>
            <w:r>
              <w:rPr>
                <w:sz w:val="24"/>
                <w:szCs w:val="24"/>
              </w:rPr>
              <w:t>土地开发程度</w:t>
            </w:r>
          </w:p>
        </w:tc>
        <w:tc>
          <w:tcPr>
            <w:tcW w:w="4343" w:type="pct"/>
            <w:gridSpan w:val="6"/>
            <w:tcBorders>
              <w:left w:val="single" w:color="auto" w:sz="4" w:space="0"/>
              <w:bottom w:val="single" w:color="auto" w:sz="4" w:space="0"/>
              <w:right w:val="single" w:color="auto" w:sz="4" w:space="0"/>
            </w:tcBorders>
            <w:vAlign w:val="center"/>
          </w:tcPr>
          <w:p w14:paraId="542AB633">
            <w:pPr>
              <w:adjustRightInd w:val="0"/>
              <w:snapToGrid w:val="0"/>
              <w:jc w:val="center"/>
              <w:rPr>
                <w:sz w:val="24"/>
                <w:szCs w:val="24"/>
              </w:rPr>
            </w:pPr>
            <w:r>
              <w:rPr>
                <w:rFonts w:hint="eastAsia"/>
                <w:sz w:val="24"/>
                <w:szCs w:val="24"/>
              </w:rPr>
              <w:t>宗地红线外按现状开发程度，宗地红线内场地平整</w:t>
            </w:r>
          </w:p>
        </w:tc>
      </w:tr>
      <w:tr w14:paraId="3C7C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64D40C0F">
            <w:pPr>
              <w:adjustRightInd w:val="0"/>
              <w:snapToGrid w:val="0"/>
              <w:jc w:val="center"/>
              <w:rPr>
                <w:sz w:val="24"/>
                <w:szCs w:val="24"/>
              </w:rPr>
            </w:pPr>
            <w:r>
              <w:rPr>
                <w:sz w:val="24"/>
                <w:szCs w:val="24"/>
              </w:rPr>
              <w:t>法定使用年期</w:t>
            </w:r>
          </w:p>
        </w:tc>
        <w:tc>
          <w:tcPr>
            <w:tcW w:w="899" w:type="pct"/>
            <w:tcBorders>
              <w:top w:val="single" w:color="auto" w:sz="4" w:space="0"/>
              <w:left w:val="single" w:color="auto" w:sz="4" w:space="0"/>
              <w:bottom w:val="single" w:color="auto" w:sz="4" w:space="0"/>
              <w:right w:val="single" w:color="auto" w:sz="4" w:space="0"/>
            </w:tcBorders>
            <w:vAlign w:val="center"/>
          </w:tcPr>
          <w:p w14:paraId="35DF8A1F">
            <w:pPr>
              <w:adjustRightInd w:val="0"/>
              <w:snapToGrid w:val="0"/>
              <w:jc w:val="center"/>
              <w:rPr>
                <w:sz w:val="24"/>
                <w:szCs w:val="24"/>
              </w:rPr>
            </w:pPr>
            <w:r>
              <w:rPr>
                <w:rFonts w:hint="eastAsia"/>
                <w:sz w:val="24"/>
                <w:szCs w:val="24"/>
              </w:rPr>
              <w:t>4</w:t>
            </w:r>
            <w:r>
              <w:rPr>
                <w:sz w:val="24"/>
                <w:szCs w:val="24"/>
              </w:rPr>
              <w:t>0</w:t>
            </w:r>
            <w:r>
              <w:rPr>
                <w:rFonts w:hint="eastAsia"/>
                <w:sz w:val="24"/>
                <w:szCs w:val="24"/>
              </w:rPr>
              <w:t>年</w:t>
            </w:r>
          </w:p>
        </w:tc>
        <w:tc>
          <w:tcPr>
            <w:tcW w:w="641" w:type="pct"/>
            <w:tcBorders>
              <w:top w:val="single" w:color="auto" w:sz="4" w:space="0"/>
              <w:left w:val="single" w:color="auto" w:sz="4" w:space="0"/>
              <w:bottom w:val="single" w:color="auto" w:sz="4" w:space="0"/>
              <w:right w:val="single" w:color="auto" w:sz="4" w:space="0"/>
            </w:tcBorders>
            <w:vAlign w:val="center"/>
          </w:tcPr>
          <w:p w14:paraId="5BC2859A">
            <w:pPr>
              <w:adjustRightInd w:val="0"/>
              <w:snapToGrid w:val="0"/>
              <w:jc w:val="center"/>
              <w:rPr>
                <w:sz w:val="24"/>
                <w:szCs w:val="24"/>
              </w:rPr>
            </w:pPr>
            <w:r>
              <w:rPr>
                <w:rFonts w:hint="eastAsia"/>
                <w:sz w:val="24"/>
                <w:szCs w:val="24"/>
              </w:rPr>
              <w:t>7</w:t>
            </w:r>
            <w:r>
              <w:rPr>
                <w:sz w:val="24"/>
                <w:szCs w:val="24"/>
              </w:rPr>
              <w:t>0</w:t>
            </w:r>
            <w:r>
              <w:rPr>
                <w:rFonts w:hint="eastAsia"/>
                <w:sz w:val="24"/>
                <w:szCs w:val="24"/>
              </w:rPr>
              <w:t>年</w:t>
            </w:r>
          </w:p>
        </w:tc>
        <w:tc>
          <w:tcPr>
            <w:tcW w:w="871" w:type="pct"/>
            <w:tcBorders>
              <w:top w:val="single" w:color="auto" w:sz="4" w:space="0"/>
              <w:left w:val="single" w:color="auto" w:sz="4" w:space="0"/>
              <w:bottom w:val="single" w:color="auto" w:sz="4" w:space="0"/>
              <w:right w:val="single" w:color="auto" w:sz="4" w:space="0"/>
            </w:tcBorders>
            <w:vAlign w:val="center"/>
          </w:tcPr>
          <w:p w14:paraId="508C4394">
            <w:pPr>
              <w:adjustRightInd w:val="0"/>
              <w:snapToGrid w:val="0"/>
              <w:jc w:val="center"/>
              <w:rPr>
                <w:sz w:val="24"/>
                <w:szCs w:val="24"/>
              </w:rPr>
            </w:pPr>
            <w:r>
              <w:rPr>
                <w:rFonts w:hint="eastAsia"/>
                <w:sz w:val="24"/>
                <w:szCs w:val="24"/>
              </w:rPr>
              <w:t>商服</w:t>
            </w:r>
            <w:r>
              <w:rPr>
                <w:sz w:val="24"/>
                <w:szCs w:val="24"/>
              </w:rPr>
              <w:t>40年</w:t>
            </w:r>
          </w:p>
          <w:p w14:paraId="30096E6A">
            <w:pPr>
              <w:adjustRightInd w:val="0"/>
              <w:snapToGrid w:val="0"/>
              <w:jc w:val="center"/>
              <w:rPr>
                <w:sz w:val="24"/>
                <w:szCs w:val="24"/>
              </w:rPr>
            </w:pPr>
            <w:r>
              <w:rPr>
                <w:rFonts w:hint="eastAsia"/>
                <w:sz w:val="24"/>
                <w:szCs w:val="24"/>
              </w:rPr>
              <w:t>住宅7</w:t>
            </w:r>
            <w:r>
              <w:rPr>
                <w:sz w:val="24"/>
                <w:szCs w:val="24"/>
              </w:rPr>
              <w:t>0</w:t>
            </w:r>
            <w:r>
              <w:rPr>
                <w:rFonts w:hint="eastAsia"/>
                <w:sz w:val="24"/>
                <w:szCs w:val="24"/>
              </w:rPr>
              <w:t>年</w:t>
            </w:r>
          </w:p>
        </w:tc>
        <w:tc>
          <w:tcPr>
            <w:tcW w:w="635" w:type="pct"/>
            <w:tcBorders>
              <w:top w:val="single" w:color="auto" w:sz="4" w:space="0"/>
              <w:left w:val="single" w:color="auto" w:sz="4" w:space="0"/>
              <w:bottom w:val="single" w:color="auto" w:sz="4" w:space="0"/>
              <w:right w:val="single" w:color="auto" w:sz="4" w:space="0"/>
            </w:tcBorders>
            <w:vAlign w:val="center"/>
          </w:tcPr>
          <w:p w14:paraId="74DDB6B1">
            <w:pPr>
              <w:adjustRightInd w:val="0"/>
              <w:snapToGrid w:val="0"/>
              <w:jc w:val="center"/>
              <w:rPr>
                <w:sz w:val="24"/>
                <w:szCs w:val="24"/>
              </w:rPr>
            </w:pPr>
            <w:r>
              <w:rPr>
                <w:sz w:val="24"/>
                <w:szCs w:val="24"/>
              </w:rPr>
              <w:t>50年</w:t>
            </w:r>
          </w:p>
        </w:tc>
        <w:tc>
          <w:tcPr>
            <w:tcW w:w="700" w:type="pct"/>
            <w:tcBorders>
              <w:top w:val="single" w:color="auto" w:sz="4" w:space="0"/>
              <w:left w:val="single" w:color="auto" w:sz="4" w:space="0"/>
              <w:bottom w:val="single" w:color="auto" w:sz="4" w:space="0"/>
              <w:right w:val="single" w:color="auto" w:sz="4" w:space="0"/>
            </w:tcBorders>
            <w:vAlign w:val="center"/>
          </w:tcPr>
          <w:p w14:paraId="78B68A80">
            <w:pPr>
              <w:adjustRightInd w:val="0"/>
              <w:snapToGrid w:val="0"/>
              <w:jc w:val="center"/>
              <w:rPr>
                <w:sz w:val="24"/>
                <w:szCs w:val="24"/>
              </w:rPr>
            </w:pPr>
            <w:r>
              <w:rPr>
                <w:sz w:val="24"/>
                <w:szCs w:val="24"/>
              </w:rPr>
              <w:t>50年</w:t>
            </w:r>
          </w:p>
        </w:tc>
        <w:tc>
          <w:tcPr>
            <w:tcW w:w="595" w:type="pct"/>
            <w:tcBorders>
              <w:top w:val="single" w:color="auto" w:sz="4" w:space="0"/>
              <w:left w:val="single" w:color="auto" w:sz="4" w:space="0"/>
              <w:bottom w:val="single" w:color="auto" w:sz="4" w:space="0"/>
              <w:right w:val="single" w:color="auto" w:sz="4" w:space="0"/>
            </w:tcBorders>
            <w:vAlign w:val="center"/>
          </w:tcPr>
          <w:p w14:paraId="0DEC476A">
            <w:pPr>
              <w:adjustRightInd w:val="0"/>
              <w:snapToGrid w:val="0"/>
              <w:jc w:val="center"/>
              <w:rPr>
                <w:sz w:val="24"/>
                <w:szCs w:val="24"/>
              </w:rPr>
            </w:pPr>
            <w:r>
              <w:rPr>
                <w:sz w:val="24"/>
                <w:szCs w:val="24"/>
              </w:rPr>
              <w:t>50年</w:t>
            </w:r>
          </w:p>
        </w:tc>
      </w:tr>
      <w:tr w14:paraId="309E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0C2863A2">
            <w:pPr>
              <w:adjustRightInd w:val="0"/>
              <w:snapToGrid w:val="0"/>
              <w:jc w:val="center"/>
              <w:rPr>
                <w:sz w:val="24"/>
                <w:szCs w:val="24"/>
              </w:rPr>
            </w:pPr>
            <w:r>
              <w:rPr>
                <w:sz w:val="24"/>
                <w:szCs w:val="24"/>
              </w:rPr>
              <w:t>容积率</w:t>
            </w:r>
          </w:p>
        </w:tc>
        <w:tc>
          <w:tcPr>
            <w:tcW w:w="4343" w:type="pct"/>
            <w:gridSpan w:val="6"/>
            <w:tcBorders>
              <w:top w:val="single" w:color="auto" w:sz="4" w:space="0"/>
              <w:left w:val="single" w:color="auto" w:sz="4" w:space="0"/>
              <w:bottom w:val="single" w:color="auto" w:sz="4" w:space="0"/>
              <w:right w:val="single" w:color="auto" w:sz="4" w:space="0"/>
            </w:tcBorders>
            <w:vAlign w:val="center"/>
          </w:tcPr>
          <w:p w14:paraId="0482FFDE">
            <w:pPr>
              <w:adjustRightInd w:val="0"/>
              <w:snapToGrid w:val="0"/>
              <w:jc w:val="center"/>
              <w:rPr>
                <w:sz w:val="24"/>
                <w:szCs w:val="24"/>
              </w:rPr>
            </w:pPr>
            <w:r>
              <w:rPr>
                <w:rFonts w:hint="eastAsia"/>
                <w:sz w:val="24"/>
                <w:szCs w:val="24"/>
              </w:rPr>
              <w:t>现状容积率（未建成用地按规划容积率）</w:t>
            </w:r>
          </w:p>
        </w:tc>
      </w:tr>
      <w:tr w14:paraId="0F80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4FD74A9D">
            <w:pPr>
              <w:adjustRightInd w:val="0"/>
              <w:snapToGrid w:val="0"/>
              <w:jc w:val="center"/>
              <w:rPr>
                <w:sz w:val="24"/>
                <w:szCs w:val="24"/>
              </w:rPr>
            </w:pPr>
            <w:r>
              <w:rPr>
                <w:rFonts w:hint="eastAsia"/>
                <w:sz w:val="24"/>
                <w:szCs w:val="24"/>
              </w:rPr>
              <w:t>标准宗地</w:t>
            </w:r>
          </w:p>
          <w:p w14:paraId="11565995">
            <w:pPr>
              <w:adjustRightInd w:val="0"/>
              <w:snapToGrid w:val="0"/>
              <w:jc w:val="center"/>
              <w:rPr>
                <w:sz w:val="24"/>
                <w:szCs w:val="24"/>
              </w:rPr>
            </w:pPr>
            <w:r>
              <w:rPr>
                <w:rFonts w:hint="eastAsia"/>
                <w:sz w:val="24"/>
                <w:szCs w:val="24"/>
              </w:rPr>
              <w:t>现状容积率范围</w:t>
            </w:r>
          </w:p>
        </w:tc>
        <w:tc>
          <w:tcPr>
            <w:tcW w:w="899" w:type="pct"/>
            <w:tcBorders>
              <w:top w:val="single" w:color="auto" w:sz="4" w:space="0"/>
              <w:left w:val="single" w:color="auto" w:sz="4" w:space="0"/>
              <w:bottom w:val="single" w:color="auto" w:sz="4" w:space="0"/>
              <w:right w:val="single" w:color="auto" w:sz="4" w:space="0"/>
            </w:tcBorders>
            <w:vAlign w:val="center"/>
          </w:tcPr>
          <w:p w14:paraId="38B755DD">
            <w:pPr>
              <w:adjustRightInd w:val="0"/>
              <w:snapToGrid w:val="0"/>
              <w:jc w:val="center"/>
              <w:rPr>
                <w:sz w:val="24"/>
                <w:szCs w:val="24"/>
              </w:rPr>
            </w:pPr>
            <w:r>
              <w:rPr>
                <w:sz w:val="24"/>
                <w:szCs w:val="24"/>
              </w:rPr>
              <w:t>3.5</w:t>
            </w:r>
            <w:r>
              <w:rPr>
                <w:rFonts w:hint="eastAsia"/>
                <w:sz w:val="24"/>
                <w:szCs w:val="24"/>
              </w:rPr>
              <w:t>~</w:t>
            </w:r>
            <w:r>
              <w:rPr>
                <w:sz w:val="24"/>
                <w:szCs w:val="24"/>
              </w:rPr>
              <w:t>4.5</w:t>
            </w:r>
          </w:p>
        </w:tc>
        <w:tc>
          <w:tcPr>
            <w:tcW w:w="641" w:type="pct"/>
            <w:tcBorders>
              <w:top w:val="single" w:color="auto" w:sz="4" w:space="0"/>
              <w:left w:val="single" w:color="auto" w:sz="4" w:space="0"/>
              <w:bottom w:val="single" w:color="auto" w:sz="4" w:space="0"/>
              <w:right w:val="single" w:color="auto" w:sz="4" w:space="0"/>
            </w:tcBorders>
            <w:vAlign w:val="center"/>
          </w:tcPr>
          <w:p w14:paraId="6C65C39E">
            <w:pPr>
              <w:adjustRightInd w:val="0"/>
              <w:snapToGrid w:val="0"/>
              <w:jc w:val="center"/>
              <w:rPr>
                <w:sz w:val="24"/>
                <w:szCs w:val="24"/>
              </w:rPr>
            </w:pPr>
            <w:r>
              <w:rPr>
                <w:sz w:val="24"/>
                <w:szCs w:val="24"/>
              </w:rPr>
              <w:t>1.77</w:t>
            </w:r>
            <w:r>
              <w:rPr>
                <w:rFonts w:hint="eastAsia"/>
                <w:sz w:val="24"/>
                <w:szCs w:val="24"/>
              </w:rPr>
              <w:t>~</w:t>
            </w:r>
            <w:r>
              <w:rPr>
                <w:sz w:val="24"/>
                <w:szCs w:val="24"/>
              </w:rPr>
              <w:t>3</w:t>
            </w:r>
          </w:p>
        </w:tc>
        <w:tc>
          <w:tcPr>
            <w:tcW w:w="871" w:type="pct"/>
            <w:tcBorders>
              <w:top w:val="single" w:color="auto" w:sz="4" w:space="0"/>
              <w:left w:val="single" w:color="auto" w:sz="4" w:space="0"/>
              <w:bottom w:val="single" w:color="auto" w:sz="4" w:space="0"/>
              <w:right w:val="single" w:color="auto" w:sz="4" w:space="0"/>
            </w:tcBorders>
            <w:vAlign w:val="center"/>
          </w:tcPr>
          <w:p w14:paraId="170E776B">
            <w:pPr>
              <w:adjustRightInd w:val="0"/>
              <w:snapToGrid w:val="0"/>
              <w:jc w:val="center"/>
              <w:rPr>
                <w:sz w:val="24"/>
                <w:szCs w:val="24"/>
              </w:rPr>
            </w:pPr>
            <w:r>
              <w:rPr>
                <w:sz w:val="24"/>
                <w:szCs w:val="24"/>
              </w:rPr>
              <w:t>1.41</w:t>
            </w:r>
            <w:r>
              <w:rPr>
                <w:rFonts w:hint="eastAsia"/>
                <w:sz w:val="24"/>
                <w:szCs w:val="24"/>
              </w:rPr>
              <w:t>~</w:t>
            </w:r>
            <w:r>
              <w:rPr>
                <w:sz w:val="24"/>
                <w:szCs w:val="24"/>
              </w:rPr>
              <w:t>3.8</w:t>
            </w:r>
          </w:p>
        </w:tc>
        <w:tc>
          <w:tcPr>
            <w:tcW w:w="635" w:type="pct"/>
            <w:tcBorders>
              <w:top w:val="single" w:color="auto" w:sz="4" w:space="0"/>
              <w:left w:val="single" w:color="auto" w:sz="4" w:space="0"/>
              <w:bottom w:val="single" w:color="auto" w:sz="4" w:space="0"/>
              <w:right w:val="single" w:color="auto" w:sz="4" w:space="0"/>
            </w:tcBorders>
            <w:vAlign w:val="center"/>
          </w:tcPr>
          <w:p w14:paraId="2107F075">
            <w:pPr>
              <w:adjustRightInd w:val="0"/>
              <w:snapToGrid w:val="0"/>
              <w:jc w:val="center"/>
              <w:rPr>
                <w:sz w:val="24"/>
                <w:szCs w:val="24"/>
              </w:rPr>
            </w:pPr>
            <w:r>
              <w:rPr>
                <w:sz w:val="24"/>
                <w:szCs w:val="24"/>
              </w:rPr>
              <w:t>0.01</w:t>
            </w:r>
            <w:r>
              <w:rPr>
                <w:rFonts w:hint="eastAsia"/>
                <w:sz w:val="24"/>
                <w:szCs w:val="24"/>
              </w:rPr>
              <w:t>~</w:t>
            </w:r>
            <w:r>
              <w:rPr>
                <w:sz w:val="24"/>
                <w:szCs w:val="24"/>
              </w:rPr>
              <w:t>3.5</w:t>
            </w:r>
          </w:p>
        </w:tc>
        <w:tc>
          <w:tcPr>
            <w:tcW w:w="700" w:type="pct"/>
            <w:tcBorders>
              <w:top w:val="single" w:color="auto" w:sz="4" w:space="0"/>
              <w:left w:val="single" w:color="auto" w:sz="4" w:space="0"/>
              <w:bottom w:val="single" w:color="auto" w:sz="4" w:space="0"/>
              <w:right w:val="single" w:color="auto" w:sz="4" w:space="0"/>
            </w:tcBorders>
            <w:vAlign w:val="center"/>
          </w:tcPr>
          <w:p w14:paraId="48A06EE7">
            <w:pPr>
              <w:adjustRightInd w:val="0"/>
              <w:snapToGrid w:val="0"/>
              <w:jc w:val="center"/>
              <w:rPr>
                <w:sz w:val="24"/>
                <w:szCs w:val="24"/>
              </w:rPr>
            </w:pPr>
            <w:r>
              <w:rPr>
                <w:sz w:val="24"/>
                <w:szCs w:val="24"/>
              </w:rPr>
              <w:t>0.47</w:t>
            </w:r>
            <w:r>
              <w:rPr>
                <w:rFonts w:hint="eastAsia"/>
                <w:sz w:val="24"/>
                <w:szCs w:val="24"/>
              </w:rPr>
              <w:t>~</w:t>
            </w:r>
            <w:r>
              <w:rPr>
                <w:sz w:val="24"/>
                <w:szCs w:val="24"/>
              </w:rPr>
              <w:t>2.5</w:t>
            </w:r>
          </w:p>
        </w:tc>
        <w:tc>
          <w:tcPr>
            <w:tcW w:w="595" w:type="pct"/>
            <w:tcBorders>
              <w:top w:val="single" w:color="auto" w:sz="4" w:space="0"/>
              <w:left w:val="single" w:color="auto" w:sz="4" w:space="0"/>
              <w:bottom w:val="single" w:color="auto" w:sz="4" w:space="0"/>
              <w:right w:val="single" w:color="auto" w:sz="4" w:space="0"/>
            </w:tcBorders>
            <w:vAlign w:val="center"/>
          </w:tcPr>
          <w:p w14:paraId="4DCB68D0">
            <w:pPr>
              <w:adjustRightInd w:val="0"/>
              <w:snapToGrid w:val="0"/>
              <w:jc w:val="center"/>
              <w:rPr>
                <w:sz w:val="24"/>
                <w:szCs w:val="24"/>
                <w:highlight w:val="yellow"/>
              </w:rPr>
            </w:pPr>
            <w:r>
              <w:rPr>
                <w:sz w:val="24"/>
                <w:szCs w:val="24"/>
              </w:rPr>
              <w:t>0.03</w:t>
            </w:r>
            <w:r>
              <w:rPr>
                <w:rFonts w:hint="eastAsia"/>
                <w:sz w:val="24"/>
                <w:szCs w:val="24"/>
              </w:rPr>
              <w:t>~</w:t>
            </w:r>
            <w:r>
              <w:rPr>
                <w:sz w:val="24"/>
                <w:szCs w:val="24"/>
              </w:rPr>
              <w:t>0.49</w:t>
            </w:r>
          </w:p>
        </w:tc>
      </w:tr>
      <w:tr w14:paraId="105A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5A2CA769">
            <w:pPr>
              <w:adjustRightInd w:val="0"/>
              <w:snapToGrid w:val="0"/>
              <w:jc w:val="center"/>
              <w:rPr>
                <w:sz w:val="24"/>
                <w:szCs w:val="24"/>
              </w:rPr>
            </w:pPr>
            <w:r>
              <w:rPr>
                <w:rFonts w:hint="eastAsia"/>
                <w:sz w:val="24"/>
                <w:szCs w:val="24"/>
              </w:rPr>
              <w:t>价值类型</w:t>
            </w:r>
          </w:p>
        </w:tc>
        <w:tc>
          <w:tcPr>
            <w:tcW w:w="4343" w:type="pct"/>
            <w:gridSpan w:val="6"/>
            <w:tcBorders>
              <w:top w:val="single" w:color="auto" w:sz="4" w:space="0"/>
              <w:left w:val="single" w:color="auto" w:sz="4" w:space="0"/>
              <w:bottom w:val="single" w:color="auto" w:sz="4" w:space="0"/>
              <w:right w:val="single" w:color="auto" w:sz="4" w:space="0"/>
            </w:tcBorders>
            <w:vAlign w:val="center"/>
          </w:tcPr>
          <w:p w14:paraId="7E1F4301">
            <w:pPr>
              <w:adjustRightInd w:val="0"/>
              <w:snapToGrid w:val="0"/>
              <w:jc w:val="center"/>
              <w:rPr>
                <w:sz w:val="24"/>
                <w:szCs w:val="24"/>
              </w:rPr>
            </w:pPr>
            <w:r>
              <w:rPr>
                <w:rFonts w:hint="eastAsia"/>
                <w:sz w:val="24"/>
                <w:szCs w:val="24"/>
              </w:rPr>
              <w:t>市场特征平稳正常情况和公开竞争市场条件下的权利特征完整的使用权价格</w:t>
            </w:r>
          </w:p>
        </w:tc>
      </w:tr>
      <w:tr w14:paraId="3487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pct"/>
            <w:tcBorders>
              <w:top w:val="single" w:color="auto" w:sz="4" w:space="0"/>
              <w:left w:val="single" w:color="auto" w:sz="4" w:space="0"/>
              <w:right w:val="single" w:color="auto" w:sz="4" w:space="0"/>
            </w:tcBorders>
            <w:vAlign w:val="center"/>
          </w:tcPr>
          <w:p w14:paraId="78C9C9DA">
            <w:pPr>
              <w:adjustRightInd w:val="0"/>
              <w:snapToGrid w:val="0"/>
              <w:jc w:val="center"/>
              <w:rPr>
                <w:sz w:val="24"/>
                <w:szCs w:val="24"/>
              </w:rPr>
            </w:pPr>
            <w:r>
              <w:rPr>
                <w:sz w:val="24"/>
                <w:szCs w:val="24"/>
              </w:rPr>
              <w:t>价格表现形式</w:t>
            </w:r>
          </w:p>
        </w:tc>
        <w:tc>
          <w:tcPr>
            <w:tcW w:w="899" w:type="pct"/>
            <w:tcBorders>
              <w:top w:val="single" w:color="auto" w:sz="4" w:space="0"/>
              <w:left w:val="single" w:color="auto" w:sz="4" w:space="0"/>
              <w:bottom w:val="single" w:color="auto" w:sz="4" w:space="0"/>
              <w:right w:val="single" w:color="auto" w:sz="4" w:space="0"/>
            </w:tcBorders>
            <w:vAlign w:val="center"/>
          </w:tcPr>
          <w:p w14:paraId="7051B5DD">
            <w:pPr>
              <w:adjustRightInd w:val="0"/>
              <w:snapToGrid w:val="0"/>
              <w:jc w:val="center"/>
              <w:rPr>
                <w:rFonts w:hint="eastAsia" w:eastAsia="仿宋_GB2312"/>
                <w:sz w:val="24"/>
                <w:szCs w:val="24"/>
                <w:lang w:eastAsia="zh-CN"/>
              </w:rPr>
            </w:pPr>
            <w:r>
              <w:rPr>
                <w:rFonts w:hint="eastAsia"/>
                <w:sz w:val="24"/>
                <w:szCs w:val="24"/>
              </w:rPr>
              <w:t>平均楼面地价</w:t>
            </w:r>
            <w:r>
              <w:rPr>
                <w:rFonts w:hint="eastAsia"/>
                <w:sz w:val="24"/>
                <w:szCs w:val="24"/>
                <w:lang w:eastAsia="zh-CN"/>
              </w:rPr>
              <w:t>、</w:t>
            </w:r>
          </w:p>
          <w:p w14:paraId="09BAE14A">
            <w:pPr>
              <w:adjustRightInd w:val="0"/>
              <w:snapToGrid w:val="0"/>
              <w:jc w:val="center"/>
              <w:rPr>
                <w:rFonts w:hint="eastAsia" w:eastAsia="仿宋_GB2312"/>
                <w:sz w:val="24"/>
                <w:szCs w:val="24"/>
                <w:lang w:eastAsia="zh-CN"/>
              </w:rPr>
            </w:pPr>
            <w:r>
              <w:rPr>
                <w:rFonts w:hint="eastAsia"/>
                <w:sz w:val="24"/>
                <w:szCs w:val="24"/>
              </w:rPr>
              <w:t>地面地价</w:t>
            </w:r>
            <w:r>
              <w:rPr>
                <w:rFonts w:hint="eastAsia"/>
                <w:sz w:val="24"/>
                <w:szCs w:val="24"/>
                <w:lang w:eastAsia="zh-CN"/>
              </w:rPr>
              <w:t>、</w:t>
            </w:r>
          </w:p>
          <w:p w14:paraId="61618D0D">
            <w:pPr>
              <w:adjustRightInd w:val="0"/>
              <w:snapToGrid w:val="0"/>
              <w:jc w:val="center"/>
              <w:rPr>
                <w:rFonts w:hint="eastAsia" w:eastAsia="仿宋_GB2312"/>
                <w:sz w:val="24"/>
                <w:szCs w:val="24"/>
                <w:lang w:eastAsia="zh-CN"/>
              </w:rPr>
            </w:pPr>
            <w:r>
              <w:rPr>
                <w:rFonts w:hint="eastAsia"/>
                <w:sz w:val="24"/>
                <w:szCs w:val="24"/>
                <w:lang w:val="en-US" w:eastAsia="zh-CN"/>
              </w:rPr>
              <w:t>商业</w:t>
            </w:r>
            <w:r>
              <w:rPr>
                <w:rFonts w:hint="eastAsia"/>
                <w:sz w:val="24"/>
                <w:szCs w:val="24"/>
              </w:rPr>
              <w:t>首层楼面地价</w:t>
            </w:r>
            <w:r>
              <w:rPr>
                <w:rFonts w:hint="eastAsia"/>
                <w:sz w:val="24"/>
                <w:szCs w:val="24"/>
                <w:lang w:eastAsia="zh-CN"/>
              </w:rPr>
              <w:t>、</w:t>
            </w:r>
          </w:p>
          <w:p w14:paraId="1A798D85">
            <w:pPr>
              <w:adjustRightInd w:val="0"/>
              <w:snapToGrid w:val="0"/>
              <w:jc w:val="center"/>
              <w:rPr>
                <w:rFonts w:hint="eastAsia"/>
                <w:sz w:val="24"/>
                <w:szCs w:val="24"/>
              </w:rPr>
            </w:pPr>
            <w:r>
              <w:rPr>
                <w:rFonts w:hint="eastAsia"/>
                <w:sz w:val="24"/>
                <w:szCs w:val="24"/>
              </w:rPr>
              <w:t>旅馆（公寓）楼面地价</w:t>
            </w:r>
          </w:p>
        </w:tc>
        <w:tc>
          <w:tcPr>
            <w:tcW w:w="641" w:type="pct"/>
            <w:tcBorders>
              <w:top w:val="single" w:color="auto" w:sz="4" w:space="0"/>
              <w:left w:val="single" w:color="auto" w:sz="4" w:space="0"/>
              <w:bottom w:val="single" w:color="auto" w:sz="4" w:space="0"/>
              <w:right w:val="single" w:color="auto" w:sz="4" w:space="0"/>
            </w:tcBorders>
            <w:vAlign w:val="center"/>
          </w:tcPr>
          <w:p w14:paraId="766D1C43">
            <w:pPr>
              <w:adjustRightInd w:val="0"/>
              <w:snapToGrid w:val="0"/>
              <w:jc w:val="center"/>
              <w:rPr>
                <w:rFonts w:hint="eastAsia" w:eastAsia="仿宋_GB2312"/>
                <w:sz w:val="24"/>
                <w:szCs w:val="24"/>
                <w:lang w:eastAsia="zh-CN"/>
              </w:rPr>
            </w:pPr>
            <w:r>
              <w:rPr>
                <w:rFonts w:hint="eastAsia"/>
                <w:sz w:val="24"/>
                <w:szCs w:val="24"/>
                <w:lang w:val="en-US" w:eastAsia="zh-CN"/>
              </w:rPr>
              <w:t>平均</w:t>
            </w:r>
            <w:r>
              <w:rPr>
                <w:rFonts w:hint="eastAsia"/>
                <w:sz w:val="24"/>
                <w:szCs w:val="24"/>
              </w:rPr>
              <w:t>楼面地价</w:t>
            </w:r>
            <w:r>
              <w:rPr>
                <w:rFonts w:hint="eastAsia"/>
                <w:sz w:val="24"/>
                <w:szCs w:val="24"/>
                <w:lang w:eastAsia="zh-CN"/>
              </w:rPr>
              <w:t>、</w:t>
            </w:r>
          </w:p>
          <w:p w14:paraId="52E22FCC">
            <w:pPr>
              <w:adjustRightInd w:val="0"/>
              <w:snapToGrid w:val="0"/>
              <w:jc w:val="center"/>
              <w:rPr>
                <w:rFonts w:hint="eastAsia" w:eastAsia="仿宋_GB2312"/>
                <w:sz w:val="24"/>
                <w:szCs w:val="24"/>
                <w:lang w:eastAsia="zh-CN"/>
              </w:rPr>
            </w:pPr>
            <w:r>
              <w:rPr>
                <w:rFonts w:hint="eastAsia"/>
                <w:sz w:val="24"/>
                <w:szCs w:val="24"/>
              </w:rPr>
              <w:t>地面地价</w:t>
            </w:r>
          </w:p>
        </w:tc>
        <w:tc>
          <w:tcPr>
            <w:tcW w:w="871" w:type="pct"/>
            <w:tcBorders>
              <w:top w:val="single" w:color="auto" w:sz="4" w:space="0"/>
              <w:left w:val="single" w:color="auto" w:sz="4" w:space="0"/>
              <w:bottom w:val="single" w:color="auto" w:sz="4" w:space="0"/>
              <w:right w:val="single" w:color="auto" w:sz="4" w:space="0"/>
            </w:tcBorders>
            <w:vAlign w:val="center"/>
          </w:tcPr>
          <w:p w14:paraId="4A508FE2">
            <w:pPr>
              <w:adjustRightInd w:val="0"/>
              <w:snapToGrid w:val="0"/>
              <w:jc w:val="center"/>
              <w:rPr>
                <w:rFonts w:hint="eastAsia" w:eastAsia="仿宋_GB2312"/>
                <w:sz w:val="24"/>
                <w:szCs w:val="24"/>
                <w:lang w:eastAsia="zh-CN"/>
              </w:rPr>
            </w:pPr>
            <w:r>
              <w:rPr>
                <w:rFonts w:hint="eastAsia"/>
                <w:sz w:val="24"/>
                <w:szCs w:val="24"/>
              </w:rPr>
              <w:t>平均楼面地价</w:t>
            </w:r>
            <w:r>
              <w:rPr>
                <w:rFonts w:hint="eastAsia"/>
                <w:sz w:val="24"/>
                <w:szCs w:val="24"/>
                <w:lang w:eastAsia="zh-CN"/>
              </w:rPr>
              <w:t>、</w:t>
            </w:r>
          </w:p>
          <w:p w14:paraId="0FACA4BA">
            <w:pPr>
              <w:adjustRightInd w:val="0"/>
              <w:snapToGrid w:val="0"/>
              <w:jc w:val="center"/>
              <w:rPr>
                <w:rFonts w:hint="eastAsia" w:eastAsia="仿宋_GB2312"/>
                <w:sz w:val="24"/>
                <w:szCs w:val="24"/>
                <w:lang w:eastAsia="zh-CN"/>
              </w:rPr>
            </w:pPr>
            <w:r>
              <w:rPr>
                <w:rFonts w:hint="eastAsia"/>
                <w:sz w:val="24"/>
                <w:szCs w:val="24"/>
              </w:rPr>
              <w:t>地面地价</w:t>
            </w:r>
            <w:r>
              <w:rPr>
                <w:rFonts w:hint="eastAsia"/>
                <w:sz w:val="24"/>
                <w:szCs w:val="24"/>
                <w:lang w:eastAsia="zh-CN"/>
              </w:rPr>
              <w:t>、</w:t>
            </w:r>
          </w:p>
          <w:p w14:paraId="6D381BF4">
            <w:pPr>
              <w:adjustRightInd w:val="0"/>
              <w:snapToGrid w:val="0"/>
              <w:jc w:val="center"/>
              <w:rPr>
                <w:rFonts w:hint="eastAsia" w:eastAsia="仿宋_GB2312"/>
                <w:sz w:val="24"/>
                <w:szCs w:val="24"/>
                <w:lang w:eastAsia="zh-CN"/>
              </w:rPr>
            </w:pPr>
            <w:r>
              <w:rPr>
                <w:rFonts w:hint="eastAsia"/>
                <w:sz w:val="24"/>
                <w:szCs w:val="24"/>
              </w:rPr>
              <w:t>商</w:t>
            </w:r>
            <w:r>
              <w:rPr>
                <w:rFonts w:hint="eastAsia"/>
                <w:sz w:val="24"/>
                <w:szCs w:val="24"/>
                <w:lang w:val="en-US" w:eastAsia="zh-CN"/>
              </w:rPr>
              <w:t>业</w:t>
            </w:r>
            <w:r>
              <w:rPr>
                <w:rFonts w:hint="eastAsia"/>
                <w:sz w:val="24"/>
                <w:szCs w:val="24"/>
              </w:rPr>
              <w:t>首层楼面地价</w:t>
            </w:r>
            <w:r>
              <w:rPr>
                <w:rFonts w:hint="eastAsia"/>
                <w:sz w:val="24"/>
                <w:szCs w:val="24"/>
                <w:lang w:eastAsia="zh-CN"/>
              </w:rPr>
              <w:t>、</w:t>
            </w:r>
          </w:p>
          <w:p w14:paraId="27A88053">
            <w:pPr>
              <w:adjustRightInd w:val="0"/>
              <w:snapToGrid w:val="0"/>
              <w:jc w:val="center"/>
              <w:rPr>
                <w:rFonts w:hint="eastAsia"/>
                <w:sz w:val="24"/>
                <w:szCs w:val="24"/>
                <w:lang w:eastAsia="zh-CN"/>
              </w:rPr>
            </w:pPr>
            <w:r>
              <w:rPr>
                <w:rFonts w:hint="eastAsia"/>
                <w:sz w:val="24"/>
                <w:szCs w:val="24"/>
              </w:rPr>
              <w:t>住宅楼面地价</w:t>
            </w:r>
            <w:r>
              <w:rPr>
                <w:rFonts w:hint="eastAsia"/>
                <w:sz w:val="24"/>
                <w:szCs w:val="24"/>
                <w:lang w:eastAsia="zh-CN"/>
              </w:rPr>
              <w:t>、</w:t>
            </w:r>
          </w:p>
          <w:p w14:paraId="1C955C2D">
            <w:pPr>
              <w:adjustRightInd w:val="0"/>
              <w:snapToGrid w:val="0"/>
              <w:jc w:val="center"/>
              <w:rPr>
                <w:sz w:val="24"/>
                <w:szCs w:val="24"/>
              </w:rPr>
            </w:pPr>
            <w:r>
              <w:rPr>
                <w:rFonts w:hint="eastAsia"/>
                <w:sz w:val="24"/>
                <w:szCs w:val="24"/>
              </w:rPr>
              <w:t>低密度住宅楼面地价</w:t>
            </w:r>
          </w:p>
        </w:tc>
        <w:tc>
          <w:tcPr>
            <w:tcW w:w="635" w:type="pct"/>
            <w:tcBorders>
              <w:top w:val="single" w:color="auto" w:sz="4" w:space="0"/>
              <w:left w:val="single" w:color="auto" w:sz="4" w:space="0"/>
              <w:bottom w:val="single" w:color="auto" w:sz="4" w:space="0"/>
              <w:right w:val="single" w:color="auto" w:sz="4" w:space="0"/>
            </w:tcBorders>
            <w:vAlign w:val="center"/>
          </w:tcPr>
          <w:p w14:paraId="28FDD9A1">
            <w:pPr>
              <w:adjustRightInd w:val="0"/>
              <w:snapToGrid w:val="0"/>
              <w:jc w:val="center"/>
              <w:rPr>
                <w:sz w:val="24"/>
                <w:szCs w:val="24"/>
              </w:rPr>
            </w:pPr>
            <w:r>
              <w:rPr>
                <w:rFonts w:hint="eastAsia"/>
                <w:sz w:val="24"/>
                <w:szCs w:val="24"/>
              </w:rPr>
              <w:t>地面地价</w:t>
            </w:r>
          </w:p>
        </w:tc>
        <w:tc>
          <w:tcPr>
            <w:tcW w:w="700" w:type="pct"/>
            <w:tcBorders>
              <w:top w:val="single" w:color="auto" w:sz="4" w:space="0"/>
              <w:left w:val="single" w:color="auto" w:sz="4" w:space="0"/>
              <w:bottom w:val="single" w:color="auto" w:sz="4" w:space="0"/>
              <w:right w:val="single" w:color="auto" w:sz="4" w:space="0"/>
            </w:tcBorders>
            <w:vAlign w:val="center"/>
          </w:tcPr>
          <w:p w14:paraId="2D92C091">
            <w:pPr>
              <w:adjustRightInd w:val="0"/>
              <w:snapToGrid w:val="0"/>
              <w:jc w:val="center"/>
              <w:rPr>
                <w:rFonts w:hint="eastAsia" w:eastAsia="仿宋_GB2312"/>
                <w:sz w:val="24"/>
                <w:szCs w:val="24"/>
                <w:lang w:eastAsia="zh-CN"/>
              </w:rPr>
            </w:pPr>
            <w:r>
              <w:rPr>
                <w:rFonts w:hint="eastAsia"/>
                <w:sz w:val="24"/>
                <w:szCs w:val="24"/>
                <w:lang w:val="en-US" w:eastAsia="zh-CN"/>
              </w:rPr>
              <w:t>平均</w:t>
            </w:r>
            <w:r>
              <w:rPr>
                <w:rFonts w:hint="eastAsia"/>
                <w:sz w:val="24"/>
                <w:szCs w:val="24"/>
              </w:rPr>
              <w:t>楼面地价</w:t>
            </w:r>
            <w:r>
              <w:rPr>
                <w:rFonts w:hint="eastAsia"/>
                <w:sz w:val="24"/>
                <w:szCs w:val="24"/>
                <w:lang w:eastAsia="zh-CN"/>
              </w:rPr>
              <w:t>、</w:t>
            </w:r>
          </w:p>
          <w:p w14:paraId="71F254A9">
            <w:pPr>
              <w:adjustRightInd w:val="0"/>
              <w:snapToGrid w:val="0"/>
              <w:jc w:val="center"/>
              <w:rPr>
                <w:sz w:val="24"/>
                <w:szCs w:val="24"/>
              </w:rPr>
            </w:pPr>
            <w:r>
              <w:rPr>
                <w:rFonts w:hint="eastAsia"/>
                <w:sz w:val="24"/>
                <w:szCs w:val="24"/>
              </w:rPr>
              <w:t>地面地价</w:t>
            </w:r>
          </w:p>
        </w:tc>
        <w:tc>
          <w:tcPr>
            <w:tcW w:w="595" w:type="pct"/>
            <w:tcBorders>
              <w:top w:val="single" w:color="auto" w:sz="4" w:space="0"/>
              <w:left w:val="single" w:color="auto" w:sz="4" w:space="0"/>
              <w:bottom w:val="single" w:color="auto" w:sz="4" w:space="0"/>
              <w:right w:val="single" w:color="auto" w:sz="4" w:space="0"/>
            </w:tcBorders>
            <w:vAlign w:val="center"/>
          </w:tcPr>
          <w:p w14:paraId="78A6DD5D">
            <w:pPr>
              <w:adjustRightInd w:val="0"/>
              <w:snapToGrid w:val="0"/>
              <w:jc w:val="center"/>
              <w:rPr>
                <w:sz w:val="24"/>
                <w:szCs w:val="24"/>
              </w:rPr>
            </w:pPr>
            <w:r>
              <w:rPr>
                <w:rFonts w:hint="eastAsia"/>
                <w:sz w:val="24"/>
                <w:szCs w:val="24"/>
              </w:rPr>
              <w:t>地面地价</w:t>
            </w:r>
          </w:p>
        </w:tc>
      </w:tr>
    </w:tbl>
    <w:p w14:paraId="5B7BEA81">
      <w:pPr>
        <w:adjustRightInd w:val="0"/>
        <w:snapToGrid w:val="0"/>
        <w:rPr>
          <w:color w:val="000000"/>
          <w:sz w:val="24"/>
          <w:szCs w:val="24"/>
        </w:rPr>
      </w:pPr>
      <w:r>
        <w:rPr>
          <w:color w:val="000000"/>
          <w:sz w:val="24"/>
          <w:szCs w:val="24"/>
        </w:rPr>
        <w:t>注：</w:t>
      </w:r>
      <w:r>
        <w:rPr>
          <w:rFonts w:hint="eastAsia"/>
          <w:color w:val="000000"/>
          <w:sz w:val="24"/>
          <w:szCs w:val="24"/>
        </w:rPr>
        <w:t>①根据对各标准宗地的现场查勘，现状开发程度为“五通一平”或“六通一平”。“五通一平”指宗地红线外通上水、通下水、通电、通路、通讯，宗地红线内场地平整；“六通一平”指宗地红线外通上水、通下水、通电、通气、通路、通讯，宗地红线内场地平整。</w:t>
      </w:r>
    </w:p>
    <w:p w14:paraId="7C6CEB3B">
      <w:pPr>
        <w:adjustRightInd w:val="0"/>
        <w:snapToGrid w:val="0"/>
        <w:rPr>
          <w:color w:val="000000"/>
          <w:sz w:val="24"/>
          <w:szCs w:val="24"/>
        </w:rPr>
      </w:pPr>
      <w:r>
        <w:rPr>
          <w:rFonts w:hint="eastAsia"/>
          <w:color w:val="000000"/>
          <w:sz w:val="24"/>
          <w:szCs w:val="24"/>
        </w:rPr>
        <w:t>②容积率为该用途各标准宗地根据现状开发状态</w:t>
      </w:r>
      <w:r>
        <w:rPr>
          <w:rFonts w:hint="eastAsia"/>
          <w:color w:val="000000"/>
          <w:sz w:val="24"/>
          <w:szCs w:val="24"/>
          <w:lang w:val="en-US" w:eastAsia="zh-CN"/>
        </w:rPr>
        <w:t>或规划条件</w:t>
      </w:r>
      <w:r>
        <w:rPr>
          <w:rFonts w:hint="eastAsia"/>
          <w:color w:val="000000"/>
          <w:sz w:val="24"/>
          <w:szCs w:val="24"/>
        </w:rPr>
        <w:t>所设定的容积率</w:t>
      </w:r>
      <w:r>
        <w:rPr>
          <w:color w:val="000000"/>
          <w:sz w:val="24"/>
          <w:szCs w:val="24"/>
        </w:rPr>
        <w:t>。</w:t>
      </w:r>
    </w:p>
    <w:p w14:paraId="29FE0EE7">
      <w:pPr>
        <w:pStyle w:val="11"/>
        <w:spacing w:line="560" w:lineRule="exact"/>
        <w:ind w:firstLine="56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四、本次标定地价的估价期日为2023年1月1日。</w:t>
      </w:r>
    </w:p>
    <w:p w14:paraId="128E8152">
      <w:pPr>
        <w:pStyle w:val="11"/>
        <w:spacing w:line="560" w:lineRule="exact"/>
        <w:ind w:firstLine="56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五、参考《国土空间调查、规划、用途管制用地用海分类指南（试行）》（自然资办发〔2020〕51号），进一步将标定地价的土地用途细分至二级类。具体如下表：</w:t>
      </w:r>
    </w:p>
    <w:p w14:paraId="4A8DEF80">
      <w:pPr>
        <w:pStyle w:val="17"/>
        <w:keepNext/>
        <w:spacing w:before="0" w:beforeLines="0"/>
        <w:rPr>
          <w:rFonts w:ascii="Times New Roman" w:hAnsi="Times New Roman"/>
          <w:sz w:val="28"/>
        </w:rPr>
      </w:pPr>
    </w:p>
    <w:p w14:paraId="7313DDDF">
      <w:pPr>
        <w:pStyle w:val="17"/>
        <w:keepNext/>
        <w:spacing w:before="0" w:beforeLines="0"/>
        <w:rPr>
          <w:rFonts w:ascii="Times New Roman" w:hAnsi="Times New Roman"/>
          <w:sz w:val="28"/>
        </w:rPr>
      </w:pPr>
      <w:r>
        <w:rPr>
          <w:rFonts w:ascii="Times New Roman" w:hAnsi="Times New Roman"/>
          <w:sz w:val="28"/>
        </w:rPr>
        <w:t>表</w:t>
      </w:r>
      <w:r>
        <w:rPr>
          <w:rFonts w:hint="eastAsia" w:ascii="Times New Roman" w:hAnsi="Times New Roman"/>
          <w:sz w:val="28"/>
        </w:rPr>
        <w:t>2</w:t>
      </w:r>
      <w:r>
        <w:rPr>
          <w:rFonts w:ascii="Times New Roman" w:hAnsi="Times New Roman"/>
          <w:sz w:val="28"/>
        </w:rPr>
        <w:t xml:space="preserve">  标定地价评估用途表</w:t>
      </w:r>
    </w:p>
    <w:tbl>
      <w:tblPr>
        <w:tblStyle w:val="7"/>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703"/>
        <w:gridCol w:w="2549"/>
        <w:gridCol w:w="3014"/>
      </w:tblGrid>
      <w:tr w14:paraId="785F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929" w:type="pct"/>
            <w:gridSpan w:val="2"/>
            <w:shd w:val="clear" w:color="auto" w:fill="auto"/>
            <w:vAlign w:val="center"/>
          </w:tcPr>
          <w:p w14:paraId="2AEC4E00">
            <w:pPr>
              <w:adjustRightInd w:val="0"/>
              <w:snapToGrid w:val="0"/>
              <w:jc w:val="center"/>
              <w:rPr>
                <w:b/>
                <w:bCs/>
                <w:color w:val="000000"/>
                <w:sz w:val="24"/>
                <w:szCs w:val="24"/>
              </w:rPr>
            </w:pPr>
            <w:r>
              <w:rPr>
                <w:b/>
                <w:bCs/>
                <w:color w:val="000000"/>
                <w:sz w:val="24"/>
                <w:szCs w:val="24"/>
              </w:rPr>
              <w:t>标定地价评估用途</w:t>
            </w:r>
          </w:p>
        </w:tc>
        <w:tc>
          <w:tcPr>
            <w:tcW w:w="1407" w:type="pct"/>
            <w:shd w:val="clear" w:color="auto" w:fill="auto"/>
            <w:vAlign w:val="center"/>
          </w:tcPr>
          <w:p w14:paraId="46791F21">
            <w:pPr>
              <w:adjustRightInd w:val="0"/>
              <w:snapToGrid w:val="0"/>
              <w:jc w:val="center"/>
              <w:rPr>
                <w:b/>
                <w:sz w:val="24"/>
                <w:szCs w:val="24"/>
              </w:rPr>
            </w:pPr>
            <w:r>
              <w:rPr>
                <w:b/>
                <w:bCs/>
                <w:color w:val="000000"/>
                <w:sz w:val="24"/>
                <w:szCs w:val="24"/>
              </w:rPr>
              <w:t>一级类</w:t>
            </w:r>
          </w:p>
        </w:tc>
        <w:tc>
          <w:tcPr>
            <w:tcW w:w="1664" w:type="pct"/>
            <w:shd w:val="clear" w:color="auto" w:fill="auto"/>
            <w:vAlign w:val="center"/>
          </w:tcPr>
          <w:p w14:paraId="2FAC199E">
            <w:pPr>
              <w:adjustRightInd w:val="0"/>
              <w:snapToGrid w:val="0"/>
              <w:jc w:val="center"/>
              <w:rPr>
                <w:b/>
                <w:sz w:val="24"/>
                <w:szCs w:val="24"/>
              </w:rPr>
            </w:pPr>
            <w:r>
              <w:rPr>
                <w:b/>
                <w:bCs/>
                <w:color w:val="000000"/>
                <w:sz w:val="24"/>
                <w:szCs w:val="24"/>
              </w:rPr>
              <w:t>二级类</w:t>
            </w:r>
          </w:p>
        </w:tc>
      </w:tr>
      <w:tr w14:paraId="6A6D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9" w:type="pct"/>
            <w:gridSpan w:val="2"/>
            <w:shd w:val="clear" w:color="auto" w:fill="auto"/>
            <w:vAlign w:val="center"/>
          </w:tcPr>
          <w:p w14:paraId="06A64596">
            <w:pPr>
              <w:adjustRightInd w:val="0"/>
              <w:snapToGrid w:val="0"/>
              <w:jc w:val="center"/>
              <w:rPr>
                <w:color w:val="000000"/>
                <w:sz w:val="24"/>
                <w:szCs w:val="24"/>
              </w:rPr>
            </w:pPr>
            <w:r>
              <w:rPr>
                <w:color w:val="000000"/>
                <w:sz w:val="24"/>
                <w:szCs w:val="24"/>
              </w:rPr>
              <w:t>商服用地</w:t>
            </w:r>
          </w:p>
        </w:tc>
        <w:tc>
          <w:tcPr>
            <w:tcW w:w="1407" w:type="pct"/>
            <w:shd w:val="clear" w:color="auto" w:fill="auto"/>
            <w:vAlign w:val="center"/>
          </w:tcPr>
          <w:p w14:paraId="33C84304">
            <w:pPr>
              <w:adjustRightInd w:val="0"/>
              <w:snapToGrid w:val="0"/>
              <w:jc w:val="center"/>
              <w:rPr>
                <w:color w:val="000000"/>
                <w:sz w:val="24"/>
                <w:szCs w:val="24"/>
              </w:rPr>
            </w:pPr>
            <w:r>
              <w:rPr>
                <w:rFonts w:hint="eastAsia"/>
                <w:color w:val="000000"/>
                <w:sz w:val="24"/>
                <w:szCs w:val="24"/>
              </w:rPr>
              <w:t>商业</w:t>
            </w:r>
            <w:r>
              <w:rPr>
                <w:color w:val="000000"/>
                <w:sz w:val="24"/>
                <w:szCs w:val="24"/>
              </w:rPr>
              <w:t>服务业用地</w:t>
            </w:r>
          </w:p>
        </w:tc>
        <w:tc>
          <w:tcPr>
            <w:tcW w:w="1664" w:type="pct"/>
            <w:shd w:val="clear" w:color="auto" w:fill="auto"/>
            <w:vAlign w:val="center"/>
          </w:tcPr>
          <w:p w14:paraId="24BFBAC9">
            <w:pPr>
              <w:adjustRightInd w:val="0"/>
              <w:snapToGrid w:val="0"/>
              <w:jc w:val="center"/>
              <w:rPr>
                <w:sz w:val="24"/>
                <w:szCs w:val="24"/>
              </w:rPr>
            </w:pPr>
            <w:r>
              <w:rPr>
                <w:rFonts w:hint="eastAsia"/>
                <w:color w:val="000000"/>
                <w:sz w:val="24"/>
                <w:szCs w:val="24"/>
              </w:rPr>
              <w:t>商业用地、商务金融用地、娱乐康体用地、其他商业服务业用地等</w:t>
            </w:r>
          </w:p>
        </w:tc>
      </w:tr>
      <w:tr w14:paraId="5FC5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9" w:type="pct"/>
            <w:gridSpan w:val="2"/>
            <w:shd w:val="clear" w:color="auto" w:fill="auto"/>
            <w:vAlign w:val="center"/>
          </w:tcPr>
          <w:p w14:paraId="59A64BA0">
            <w:pPr>
              <w:adjustRightInd w:val="0"/>
              <w:snapToGrid w:val="0"/>
              <w:jc w:val="center"/>
              <w:rPr>
                <w:color w:val="000000"/>
                <w:sz w:val="24"/>
                <w:szCs w:val="24"/>
              </w:rPr>
            </w:pPr>
            <w:r>
              <w:rPr>
                <w:rFonts w:hint="eastAsia"/>
                <w:color w:val="000000"/>
                <w:sz w:val="24"/>
                <w:szCs w:val="24"/>
              </w:rPr>
              <w:t>住宅用地</w:t>
            </w:r>
          </w:p>
        </w:tc>
        <w:tc>
          <w:tcPr>
            <w:tcW w:w="1407" w:type="pct"/>
            <w:shd w:val="clear" w:color="auto" w:fill="auto"/>
            <w:vAlign w:val="center"/>
          </w:tcPr>
          <w:p w14:paraId="5BB01D27">
            <w:pPr>
              <w:adjustRightInd w:val="0"/>
              <w:snapToGrid w:val="0"/>
              <w:jc w:val="center"/>
              <w:rPr>
                <w:rFonts w:hint="eastAsia"/>
                <w:color w:val="000000"/>
                <w:sz w:val="24"/>
                <w:szCs w:val="24"/>
              </w:rPr>
            </w:pPr>
            <w:r>
              <w:rPr>
                <w:rFonts w:hint="eastAsia"/>
                <w:color w:val="000000"/>
                <w:sz w:val="24"/>
                <w:szCs w:val="24"/>
              </w:rPr>
              <w:t>居住用地</w:t>
            </w:r>
          </w:p>
        </w:tc>
        <w:tc>
          <w:tcPr>
            <w:tcW w:w="1664" w:type="pct"/>
            <w:shd w:val="clear" w:color="auto" w:fill="auto"/>
            <w:vAlign w:val="center"/>
          </w:tcPr>
          <w:p w14:paraId="0E5B4DD1">
            <w:pPr>
              <w:adjustRightInd w:val="0"/>
              <w:snapToGrid w:val="0"/>
              <w:jc w:val="center"/>
              <w:rPr>
                <w:rFonts w:hint="eastAsia"/>
                <w:color w:val="000000"/>
                <w:sz w:val="24"/>
                <w:szCs w:val="24"/>
              </w:rPr>
            </w:pPr>
            <w:r>
              <w:rPr>
                <w:rFonts w:hint="eastAsia"/>
                <w:color w:val="000000"/>
                <w:sz w:val="24"/>
                <w:szCs w:val="24"/>
              </w:rPr>
              <w:t>城镇住宅用地、城镇社区服务设施用地等</w:t>
            </w:r>
          </w:p>
        </w:tc>
      </w:tr>
      <w:tr w14:paraId="3AC3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9" w:type="pct"/>
            <w:gridSpan w:val="2"/>
            <w:shd w:val="clear" w:color="auto" w:fill="auto"/>
            <w:vAlign w:val="center"/>
          </w:tcPr>
          <w:p w14:paraId="02C92166">
            <w:pPr>
              <w:adjustRightInd w:val="0"/>
              <w:snapToGrid w:val="0"/>
              <w:jc w:val="center"/>
              <w:rPr>
                <w:color w:val="000000"/>
                <w:sz w:val="24"/>
                <w:szCs w:val="24"/>
              </w:rPr>
            </w:pPr>
            <w:r>
              <w:rPr>
                <w:color w:val="000000"/>
                <w:sz w:val="24"/>
                <w:szCs w:val="24"/>
              </w:rPr>
              <w:t>商住混合用地</w:t>
            </w:r>
          </w:p>
        </w:tc>
        <w:tc>
          <w:tcPr>
            <w:tcW w:w="1407" w:type="pct"/>
            <w:shd w:val="clear" w:color="auto" w:fill="auto"/>
            <w:vAlign w:val="center"/>
          </w:tcPr>
          <w:p w14:paraId="7912ED17">
            <w:pPr>
              <w:adjustRightInd w:val="0"/>
              <w:snapToGrid w:val="0"/>
              <w:jc w:val="center"/>
              <w:rPr>
                <w:color w:val="000000"/>
                <w:sz w:val="24"/>
                <w:szCs w:val="24"/>
              </w:rPr>
            </w:pPr>
            <w:r>
              <w:rPr>
                <w:rFonts w:hint="eastAsia"/>
                <w:color w:val="000000"/>
                <w:sz w:val="24"/>
                <w:szCs w:val="24"/>
              </w:rPr>
              <w:t>商业服务业用地</w:t>
            </w:r>
            <w:r>
              <w:rPr>
                <w:color w:val="000000"/>
                <w:sz w:val="24"/>
                <w:szCs w:val="24"/>
              </w:rPr>
              <w:t>、</w:t>
            </w:r>
            <w:r>
              <w:rPr>
                <w:rFonts w:hint="eastAsia"/>
                <w:color w:val="000000"/>
                <w:sz w:val="24"/>
                <w:szCs w:val="24"/>
              </w:rPr>
              <w:t>居住</w:t>
            </w:r>
            <w:r>
              <w:rPr>
                <w:color w:val="000000"/>
                <w:sz w:val="24"/>
                <w:szCs w:val="24"/>
              </w:rPr>
              <w:t>用地</w:t>
            </w:r>
          </w:p>
        </w:tc>
        <w:tc>
          <w:tcPr>
            <w:tcW w:w="1664" w:type="pct"/>
            <w:shd w:val="clear" w:color="auto" w:fill="auto"/>
            <w:vAlign w:val="center"/>
          </w:tcPr>
          <w:p w14:paraId="661E7D8C">
            <w:pPr>
              <w:adjustRightInd w:val="0"/>
              <w:snapToGrid w:val="0"/>
              <w:jc w:val="center"/>
              <w:rPr>
                <w:color w:val="000000"/>
                <w:sz w:val="24"/>
                <w:szCs w:val="24"/>
              </w:rPr>
            </w:pPr>
            <w:r>
              <w:rPr>
                <w:rFonts w:hint="eastAsia"/>
                <w:color w:val="000000"/>
                <w:sz w:val="24"/>
                <w:szCs w:val="24"/>
              </w:rPr>
              <w:t>商业用地、商务金融用地、娱乐康体用地、其他商业服务业用地</w:t>
            </w:r>
            <w:r>
              <w:rPr>
                <w:color w:val="000000"/>
                <w:sz w:val="24"/>
                <w:szCs w:val="24"/>
              </w:rPr>
              <w:t>、城镇住宅用地等</w:t>
            </w:r>
          </w:p>
        </w:tc>
      </w:tr>
      <w:tr w14:paraId="1725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929" w:type="pct"/>
            <w:gridSpan w:val="2"/>
            <w:shd w:val="clear" w:color="auto" w:fill="auto"/>
            <w:vAlign w:val="center"/>
          </w:tcPr>
          <w:p w14:paraId="718FB1C3">
            <w:pPr>
              <w:adjustRightInd w:val="0"/>
              <w:snapToGrid w:val="0"/>
              <w:jc w:val="center"/>
              <w:rPr>
                <w:color w:val="000000"/>
                <w:sz w:val="24"/>
                <w:szCs w:val="24"/>
              </w:rPr>
            </w:pPr>
            <w:r>
              <w:rPr>
                <w:color w:val="000000"/>
                <w:sz w:val="24"/>
                <w:szCs w:val="24"/>
              </w:rPr>
              <w:t>工业用地</w:t>
            </w:r>
          </w:p>
        </w:tc>
        <w:tc>
          <w:tcPr>
            <w:tcW w:w="1407" w:type="pct"/>
            <w:shd w:val="clear" w:color="auto" w:fill="auto"/>
            <w:vAlign w:val="center"/>
          </w:tcPr>
          <w:p w14:paraId="30A37DCD">
            <w:pPr>
              <w:adjustRightInd w:val="0"/>
              <w:snapToGrid w:val="0"/>
              <w:jc w:val="center"/>
              <w:rPr>
                <w:color w:val="000000"/>
                <w:sz w:val="24"/>
                <w:szCs w:val="24"/>
              </w:rPr>
            </w:pPr>
            <w:r>
              <w:rPr>
                <w:rFonts w:hint="eastAsia"/>
                <w:color w:val="000000"/>
                <w:sz w:val="24"/>
                <w:szCs w:val="24"/>
              </w:rPr>
              <w:t>工矿</w:t>
            </w:r>
            <w:r>
              <w:rPr>
                <w:color w:val="000000"/>
                <w:sz w:val="24"/>
                <w:szCs w:val="24"/>
              </w:rPr>
              <w:t>用地</w:t>
            </w:r>
            <w:r>
              <w:rPr>
                <w:rFonts w:hint="eastAsia"/>
                <w:color w:val="000000"/>
                <w:sz w:val="24"/>
                <w:szCs w:val="24"/>
              </w:rPr>
              <w:t>、仓储用地</w:t>
            </w:r>
          </w:p>
        </w:tc>
        <w:tc>
          <w:tcPr>
            <w:tcW w:w="1664" w:type="pct"/>
            <w:shd w:val="clear" w:color="auto" w:fill="auto"/>
            <w:vAlign w:val="center"/>
          </w:tcPr>
          <w:p w14:paraId="0B1DF3F9">
            <w:pPr>
              <w:adjustRightInd w:val="0"/>
              <w:snapToGrid w:val="0"/>
              <w:jc w:val="center"/>
              <w:rPr>
                <w:color w:val="000000"/>
                <w:sz w:val="24"/>
                <w:szCs w:val="24"/>
              </w:rPr>
            </w:pPr>
            <w:r>
              <w:rPr>
                <w:color w:val="000000"/>
                <w:sz w:val="24"/>
                <w:szCs w:val="24"/>
              </w:rPr>
              <w:t>工业用地</w:t>
            </w:r>
            <w:r>
              <w:rPr>
                <w:rFonts w:hint="eastAsia"/>
                <w:color w:val="000000"/>
                <w:sz w:val="24"/>
                <w:szCs w:val="24"/>
              </w:rPr>
              <w:t>、</w:t>
            </w:r>
            <w:r>
              <w:rPr>
                <w:color w:val="000000"/>
                <w:sz w:val="24"/>
                <w:szCs w:val="24"/>
              </w:rPr>
              <w:t>物流仓储用地等</w:t>
            </w:r>
          </w:p>
        </w:tc>
      </w:tr>
      <w:tr w14:paraId="3FF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89" w:type="pct"/>
            <w:vMerge w:val="restart"/>
            <w:shd w:val="clear" w:color="auto" w:fill="auto"/>
            <w:vAlign w:val="center"/>
          </w:tcPr>
          <w:p w14:paraId="0CA46568">
            <w:pPr>
              <w:adjustRightInd w:val="0"/>
              <w:snapToGrid w:val="0"/>
              <w:jc w:val="center"/>
              <w:rPr>
                <w:color w:val="000000"/>
                <w:sz w:val="24"/>
                <w:szCs w:val="24"/>
              </w:rPr>
            </w:pPr>
            <w:r>
              <w:rPr>
                <w:rFonts w:hint="eastAsia"/>
                <w:color w:val="000000"/>
                <w:sz w:val="24"/>
                <w:szCs w:val="24"/>
              </w:rPr>
              <w:t>公共服务用地</w:t>
            </w:r>
          </w:p>
        </w:tc>
        <w:tc>
          <w:tcPr>
            <w:tcW w:w="940" w:type="pct"/>
            <w:shd w:val="clear" w:color="auto" w:fill="auto"/>
            <w:vAlign w:val="center"/>
          </w:tcPr>
          <w:p w14:paraId="4C5938D9">
            <w:pPr>
              <w:adjustRightInd w:val="0"/>
              <w:snapToGrid w:val="0"/>
              <w:jc w:val="center"/>
              <w:rPr>
                <w:color w:val="000000"/>
                <w:sz w:val="24"/>
                <w:szCs w:val="24"/>
              </w:rPr>
            </w:pPr>
            <w:r>
              <w:rPr>
                <w:color w:val="000000"/>
                <w:sz w:val="24"/>
                <w:szCs w:val="24"/>
              </w:rPr>
              <w:t>公共管理与公共服务用地</w:t>
            </w:r>
          </w:p>
        </w:tc>
        <w:tc>
          <w:tcPr>
            <w:tcW w:w="1407" w:type="pct"/>
            <w:shd w:val="clear" w:color="auto" w:fill="auto"/>
            <w:vAlign w:val="center"/>
          </w:tcPr>
          <w:p w14:paraId="15E6C13D">
            <w:pPr>
              <w:adjustRightInd w:val="0"/>
              <w:snapToGrid w:val="0"/>
              <w:jc w:val="center"/>
              <w:rPr>
                <w:color w:val="000000"/>
                <w:sz w:val="24"/>
                <w:szCs w:val="24"/>
              </w:rPr>
            </w:pPr>
            <w:r>
              <w:rPr>
                <w:color w:val="000000"/>
                <w:sz w:val="24"/>
                <w:szCs w:val="24"/>
              </w:rPr>
              <w:t>公共管理与公共服务用地</w:t>
            </w:r>
          </w:p>
        </w:tc>
        <w:tc>
          <w:tcPr>
            <w:tcW w:w="1664" w:type="pct"/>
            <w:shd w:val="clear" w:color="auto" w:fill="auto"/>
            <w:vAlign w:val="center"/>
          </w:tcPr>
          <w:p w14:paraId="509003EC">
            <w:pPr>
              <w:adjustRightInd w:val="0"/>
              <w:snapToGrid w:val="0"/>
              <w:jc w:val="center"/>
              <w:rPr>
                <w:color w:val="000000"/>
                <w:sz w:val="24"/>
                <w:szCs w:val="24"/>
              </w:rPr>
            </w:pPr>
            <w:r>
              <w:rPr>
                <w:rFonts w:hint="eastAsia"/>
                <w:color w:val="000000"/>
                <w:sz w:val="24"/>
                <w:szCs w:val="24"/>
              </w:rPr>
              <w:t>文化用地、科研用地、教育用地等</w:t>
            </w:r>
          </w:p>
        </w:tc>
      </w:tr>
      <w:tr w14:paraId="1F3B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89" w:type="pct"/>
            <w:vMerge w:val="continue"/>
            <w:shd w:val="clear" w:color="auto" w:fill="auto"/>
            <w:vAlign w:val="center"/>
          </w:tcPr>
          <w:p w14:paraId="7331598C">
            <w:pPr>
              <w:adjustRightInd w:val="0"/>
              <w:snapToGrid w:val="0"/>
              <w:jc w:val="center"/>
              <w:rPr>
                <w:color w:val="000000"/>
                <w:sz w:val="24"/>
                <w:szCs w:val="24"/>
              </w:rPr>
            </w:pPr>
          </w:p>
        </w:tc>
        <w:tc>
          <w:tcPr>
            <w:tcW w:w="940" w:type="pct"/>
            <w:shd w:val="clear" w:color="auto" w:fill="auto"/>
            <w:vAlign w:val="center"/>
          </w:tcPr>
          <w:p w14:paraId="47543C0C">
            <w:pPr>
              <w:adjustRightInd w:val="0"/>
              <w:snapToGrid w:val="0"/>
              <w:jc w:val="center"/>
              <w:rPr>
                <w:sz w:val="24"/>
                <w:szCs w:val="24"/>
              </w:rPr>
            </w:pPr>
            <w:r>
              <w:rPr>
                <w:color w:val="000000"/>
                <w:sz w:val="24"/>
                <w:szCs w:val="24"/>
              </w:rPr>
              <w:t>公用设施用地</w:t>
            </w:r>
          </w:p>
        </w:tc>
        <w:tc>
          <w:tcPr>
            <w:tcW w:w="1407" w:type="pct"/>
            <w:shd w:val="clear" w:color="auto" w:fill="auto"/>
            <w:vAlign w:val="center"/>
          </w:tcPr>
          <w:p w14:paraId="059074D3">
            <w:pPr>
              <w:adjustRightInd w:val="0"/>
              <w:snapToGrid w:val="0"/>
              <w:spacing w:before="60" w:after="60"/>
              <w:jc w:val="center"/>
              <w:rPr>
                <w:sz w:val="24"/>
                <w:szCs w:val="24"/>
              </w:rPr>
            </w:pPr>
            <w:r>
              <w:rPr>
                <w:color w:val="000000"/>
                <w:sz w:val="24"/>
                <w:szCs w:val="24"/>
              </w:rPr>
              <w:t>公用设施用地</w:t>
            </w:r>
          </w:p>
        </w:tc>
        <w:tc>
          <w:tcPr>
            <w:tcW w:w="1664" w:type="pct"/>
            <w:shd w:val="clear" w:color="auto" w:fill="auto"/>
            <w:vAlign w:val="center"/>
          </w:tcPr>
          <w:p w14:paraId="11DE7BAD">
            <w:pPr>
              <w:adjustRightInd w:val="0"/>
              <w:snapToGrid w:val="0"/>
              <w:jc w:val="center"/>
              <w:rPr>
                <w:color w:val="000000"/>
                <w:sz w:val="24"/>
                <w:szCs w:val="24"/>
              </w:rPr>
            </w:pPr>
            <w:r>
              <w:rPr>
                <w:rFonts w:hint="eastAsia" w:hAnsi="宋体" w:cs="宋体"/>
                <w:sz w:val="24"/>
                <w:szCs w:val="24"/>
              </w:rPr>
              <w:t>供水用地、供电用地、排水用地等</w:t>
            </w:r>
          </w:p>
        </w:tc>
      </w:tr>
    </w:tbl>
    <w:p w14:paraId="4C1ED96D">
      <w:pPr>
        <w:pStyle w:val="11"/>
        <w:spacing w:line="560" w:lineRule="exact"/>
        <w:ind w:firstLine="56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六、标定地价将标定区域、标准宗地和公示信息表予以公布。</w:t>
      </w:r>
    </w:p>
    <w:p w14:paraId="729AF949">
      <w:pPr>
        <w:pStyle w:val="11"/>
        <w:spacing w:line="560" w:lineRule="exact"/>
        <w:ind w:firstLine="56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七、江门市新会区自然资源局将根据土地市场的变化情况对标定地价进行更新修订，经区政府批准后，对外公布执行。</w:t>
      </w:r>
    </w:p>
    <w:sectPr>
      <w:footerReference r:id="rId3" w:type="default"/>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503160"/>
      <w:docPartObj>
        <w:docPartGallery w:val="autotext"/>
      </w:docPartObj>
    </w:sdtPr>
    <w:sdtContent>
      <w:p w14:paraId="5EC25FFF">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DM2YjFhNmU4ZjIzNGVhN2I2ZDVhMWVhY2RjYjkifQ=="/>
  </w:docVars>
  <w:rsids>
    <w:rsidRoot w:val="004745BE"/>
    <w:rsid w:val="00016CAE"/>
    <w:rsid w:val="00017B6B"/>
    <w:rsid w:val="0002120C"/>
    <w:rsid w:val="00021B02"/>
    <w:rsid w:val="0002455C"/>
    <w:rsid w:val="00024988"/>
    <w:rsid w:val="0002526A"/>
    <w:rsid w:val="00027228"/>
    <w:rsid w:val="000320A5"/>
    <w:rsid w:val="0003740C"/>
    <w:rsid w:val="00040DD4"/>
    <w:rsid w:val="00042C69"/>
    <w:rsid w:val="00043DF3"/>
    <w:rsid w:val="0005346B"/>
    <w:rsid w:val="000570FE"/>
    <w:rsid w:val="000600BC"/>
    <w:rsid w:val="00061FC7"/>
    <w:rsid w:val="00063E86"/>
    <w:rsid w:val="00066652"/>
    <w:rsid w:val="00071905"/>
    <w:rsid w:val="00072EBC"/>
    <w:rsid w:val="00076190"/>
    <w:rsid w:val="00091773"/>
    <w:rsid w:val="0009442D"/>
    <w:rsid w:val="000A4E4A"/>
    <w:rsid w:val="000A552A"/>
    <w:rsid w:val="000B10BD"/>
    <w:rsid w:val="000B217B"/>
    <w:rsid w:val="000B2435"/>
    <w:rsid w:val="000B674D"/>
    <w:rsid w:val="000B7B20"/>
    <w:rsid w:val="000C0960"/>
    <w:rsid w:val="000C2AC4"/>
    <w:rsid w:val="000C2EE9"/>
    <w:rsid w:val="000C4E72"/>
    <w:rsid w:val="000C54FC"/>
    <w:rsid w:val="000D1F50"/>
    <w:rsid w:val="000D209D"/>
    <w:rsid w:val="000D23E9"/>
    <w:rsid w:val="000E1185"/>
    <w:rsid w:val="000E5EAA"/>
    <w:rsid w:val="000F301C"/>
    <w:rsid w:val="000F389E"/>
    <w:rsid w:val="000F44FF"/>
    <w:rsid w:val="000F6977"/>
    <w:rsid w:val="000F7501"/>
    <w:rsid w:val="00102758"/>
    <w:rsid w:val="001035A9"/>
    <w:rsid w:val="001048A1"/>
    <w:rsid w:val="001133AF"/>
    <w:rsid w:val="00114376"/>
    <w:rsid w:val="00117381"/>
    <w:rsid w:val="00117C45"/>
    <w:rsid w:val="00117E0B"/>
    <w:rsid w:val="00125004"/>
    <w:rsid w:val="00125DA5"/>
    <w:rsid w:val="00127E5E"/>
    <w:rsid w:val="00131ECE"/>
    <w:rsid w:val="00135A48"/>
    <w:rsid w:val="00136CA5"/>
    <w:rsid w:val="0014649C"/>
    <w:rsid w:val="00146673"/>
    <w:rsid w:val="00147B54"/>
    <w:rsid w:val="00152D0D"/>
    <w:rsid w:val="0015389F"/>
    <w:rsid w:val="0016319E"/>
    <w:rsid w:val="00163B70"/>
    <w:rsid w:val="00166638"/>
    <w:rsid w:val="00166E9D"/>
    <w:rsid w:val="00173443"/>
    <w:rsid w:val="001741C5"/>
    <w:rsid w:val="0017428A"/>
    <w:rsid w:val="00180271"/>
    <w:rsid w:val="00183092"/>
    <w:rsid w:val="001833E3"/>
    <w:rsid w:val="00184722"/>
    <w:rsid w:val="00184C2B"/>
    <w:rsid w:val="00186D37"/>
    <w:rsid w:val="00197551"/>
    <w:rsid w:val="001A114B"/>
    <w:rsid w:val="001A14CC"/>
    <w:rsid w:val="001A276C"/>
    <w:rsid w:val="001A3BFF"/>
    <w:rsid w:val="001B178B"/>
    <w:rsid w:val="001B69C3"/>
    <w:rsid w:val="001B73BE"/>
    <w:rsid w:val="001C0B10"/>
    <w:rsid w:val="001C123E"/>
    <w:rsid w:val="001C171B"/>
    <w:rsid w:val="001C2593"/>
    <w:rsid w:val="001C44C3"/>
    <w:rsid w:val="001C60B3"/>
    <w:rsid w:val="001D0C3F"/>
    <w:rsid w:val="001D3BCF"/>
    <w:rsid w:val="001D6398"/>
    <w:rsid w:val="001E5902"/>
    <w:rsid w:val="001E7DC4"/>
    <w:rsid w:val="001F6C0A"/>
    <w:rsid w:val="00201512"/>
    <w:rsid w:val="00206BDA"/>
    <w:rsid w:val="00207518"/>
    <w:rsid w:val="002100FB"/>
    <w:rsid w:val="00216481"/>
    <w:rsid w:val="00217A29"/>
    <w:rsid w:val="0022011F"/>
    <w:rsid w:val="00222B39"/>
    <w:rsid w:val="00223D75"/>
    <w:rsid w:val="00224AFC"/>
    <w:rsid w:val="002268B3"/>
    <w:rsid w:val="00227E29"/>
    <w:rsid w:val="00231999"/>
    <w:rsid w:val="00234B04"/>
    <w:rsid w:val="00235091"/>
    <w:rsid w:val="002371E5"/>
    <w:rsid w:val="002447A1"/>
    <w:rsid w:val="0025536A"/>
    <w:rsid w:val="00256071"/>
    <w:rsid w:val="00261EA0"/>
    <w:rsid w:val="00261F89"/>
    <w:rsid w:val="00262C46"/>
    <w:rsid w:val="00265133"/>
    <w:rsid w:val="002709DA"/>
    <w:rsid w:val="002720D4"/>
    <w:rsid w:val="00286D38"/>
    <w:rsid w:val="00292418"/>
    <w:rsid w:val="002931DF"/>
    <w:rsid w:val="0029322F"/>
    <w:rsid w:val="0029701F"/>
    <w:rsid w:val="00297799"/>
    <w:rsid w:val="002A0847"/>
    <w:rsid w:val="002A3941"/>
    <w:rsid w:val="002A4DF7"/>
    <w:rsid w:val="002B1065"/>
    <w:rsid w:val="002B41FF"/>
    <w:rsid w:val="002B492D"/>
    <w:rsid w:val="002C19A9"/>
    <w:rsid w:val="002C34D8"/>
    <w:rsid w:val="002C5E70"/>
    <w:rsid w:val="002C645E"/>
    <w:rsid w:val="002C7247"/>
    <w:rsid w:val="002D08AF"/>
    <w:rsid w:val="002D4847"/>
    <w:rsid w:val="002D670F"/>
    <w:rsid w:val="002E0170"/>
    <w:rsid w:val="002E0B61"/>
    <w:rsid w:val="002E2BFB"/>
    <w:rsid w:val="002E47C1"/>
    <w:rsid w:val="002E6688"/>
    <w:rsid w:val="002F16BF"/>
    <w:rsid w:val="002F64F1"/>
    <w:rsid w:val="002F6F5A"/>
    <w:rsid w:val="002F6FC4"/>
    <w:rsid w:val="003000E2"/>
    <w:rsid w:val="003006F6"/>
    <w:rsid w:val="00302C05"/>
    <w:rsid w:val="00305487"/>
    <w:rsid w:val="003056C4"/>
    <w:rsid w:val="00312B88"/>
    <w:rsid w:val="00315491"/>
    <w:rsid w:val="00315896"/>
    <w:rsid w:val="003160A9"/>
    <w:rsid w:val="00321A4B"/>
    <w:rsid w:val="003240A8"/>
    <w:rsid w:val="00325FBF"/>
    <w:rsid w:val="00327D6E"/>
    <w:rsid w:val="003334A3"/>
    <w:rsid w:val="00333D8E"/>
    <w:rsid w:val="00333E9F"/>
    <w:rsid w:val="003347B8"/>
    <w:rsid w:val="00335592"/>
    <w:rsid w:val="00337626"/>
    <w:rsid w:val="00341661"/>
    <w:rsid w:val="00342ACA"/>
    <w:rsid w:val="00342ADE"/>
    <w:rsid w:val="0034614C"/>
    <w:rsid w:val="003535F5"/>
    <w:rsid w:val="00353EC6"/>
    <w:rsid w:val="003624CF"/>
    <w:rsid w:val="00370AFB"/>
    <w:rsid w:val="00370B38"/>
    <w:rsid w:val="00373F7D"/>
    <w:rsid w:val="00374BAB"/>
    <w:rsid w:val="003755C0"/>
    <w:rsid w:val="00376155"/>
    <w:rsid w:val="0038305A"/>
    <w:rsid w:val="00387447"/>
    <w:rsid w:val="00387F98"/>
    <w:rsid w:val="003A3379"/>
    <w:rsid w:val="003B054D"/>
    <w:rsid w:val="003B2E98"/>
    <w:rsid w:val="003B3305"/>
    <w:rsid w:val="003B4DCB"/>
    <w:rsid w:val="003B5414"/>
    <w:rsid w:val="003B5751"/>
    <w:rsid w:val="003C0161"/>
    <w:rsid w:val="003C0735"/>
    <w:rsid w:val="003C227E"/>
    <w:rsid w:val="003D09E1"/>
    <w:rsid w:val="003D295F"/>
    <w:rsid w:val="003E0D16"/>
    <w:rsid w:val="003F298A"/>
    <w:rsid w:val="003F5ED8"/>
    <w:rsid w:val="003F6BD0"/>
    <w:rsid w:val="00406527"/>
    <w:rsid w:val="0040709A"/>
    <w:rsid w:val="00410358"/>
    <w:rsid w:val="00411528"/>
    <w:rsid w:val="00415EAB"/>
    <w:rsid w:val="00420BF6"/>
    <w:rsid w:val="004216A4"/>
    <w:rsid w:val="004216A6"/>
    <w:rsid w:val="00421AEB"/>
    <w:rsid w:val="00421D81"/>
    <w:rsid w:val="00425282"/>
    <w:rsid w:val="004271CD"/>
    <w:rsid w:val="0042789F"/>
    <w:rsid w:val="0043461E"/>
    <w:rsid w:val="0044234E"/>
    <w:rsid w:val="00443F19"/>
    <w:rsid w:val="00444508"/>
    <w:rsid w:val="00444534"/>
    <w:rsid w:val="00446201"/>
    <w:rsid w:val="00446E84"/>
    <w:rsid w:val="00451451"/>
    <w:rsid w:val="0045370C"/>
    <w:rsid w:val="004569B2"/>
    <w:rsid w:val="00457B0F"/>
    <w:rsid w:val="00461225"/>
    <w:rsid w:val="00461B1F"/>
    <w:rsid w:val="00462BE7"/>
    <w:rsid w:val="00466A1C"/>
    <w:rsid w:val="00473CF6"/>
    <w:rsid w:val="004745BE"/>
    <w:rsid w:val="00474DDE"/>
    <w:rsid w:val="0048096C"/>
    <w:rsid w:val="00481A43"/>
    <w:rsid w:val="00483192"/>
    <w:rsid w:val="00485265"/>
    <w:rsid w:val="00490E0B"/>
    <w:rsid w:val="00491F99"/>
    <w:rsid w:val="00492EA8"/>
    <w:rsid w:val="004954CE"/>
    <w:rsid w:val="004A5248"/>
    <w:rsid w:val="004A7A4A"/>
    <w:rsid w:val="004B0D67"/>
    <w:rsid w:val="004B1617"/>
    <w:rsid w:val="004B1D9A"/>
    <w:rsid w:val="004B4939"/>
    <w:rsid w:val="004B52A0"/>
    <w:rsid w:val="004B6F16"/>
    <w:rsid w:val="004C0DD3"/>
    <w:rsid w:val="004C1918"/>
    <w:rsid w:val="004D0B78"/>
    <w:rsid w:val="004D2B69"/>
    <w:rsid w:val="004D38CA"/>
    <w:rsid w:val="004D6556"/>
    <w:rsid w:val="004D7810"/>
    <w:rsid w:val="004E0ACA"/>
    <w:rsid w:val="004E43D3"/>
    <w:rsid w:val="004E4F3D"/>
    <w:rsid w:val="004F0BA1"/>
    <w:rsid w:val="004F29C8"/>
    <w:rsid w:val="004F3D1F"/>
    <w:rsid w:val="004F71D9"/>
    <w:rsid w:val="004F7E61"/>
    <w:rsid w:val="00502BDD"/>
    <w:rsid w:val="00503CE3"/>
    <w:rsid w:val="005054F1"/>
    <w:rsid w:val="00506518"/>
    <w:rsid w:val="005201FE"/>
    <w:rsid w:val="00520589"/>
    <w:rsid w:val="00520DB1"/>
    <w:rsid w:val="00522D90"/>
    <w:rsid w:val="00524580"/>
    <w:rsid w:val="00524DA8"/>
    <w:rsid w:val="00531033"/>
    <w:rsid w:val="005311F2"/>
    <w:rsid w:val="00533039"/>
    <w:rsid w:val="00533D8E"/>
    <w:rsid w:val="00547864"/>
    <w:rsid w:val="00547FCE"/>
    <w:rsid w:val="0055035F"/>
    <w:rsid w:val="00550D29"/>
    <w:rsid w:val="00554670"/>
    <w:rsid w:val="00565850"/>
    <w:rsid w:val="00574C30"/>
    <w:rsid w:val="00577D21"/>
    <w:rsid w:val="005845CF"/>
    <w:rsid w:val="00585567"/>
    <w:rsid w:val="00587B0C"/>
    <w:rsid w:val="00590614"/>
    <w:rsid w:val="005914DF"/>
    <w:rsid w:val="00591C2E"/>
    <w:rsid w:val="005921E6"/>
    <w:rsid w:val="00594D1F"/>
    <w:rsid w:val="00595DAD"/>
    <w:rsid w:val="0059671D"/>
    <w:rsid w:val="005A0ADE"/>
    <w:rsid w:val="005A0DD7"/>
    <w:rsid w:val="005A7919"/>
    <w:rsid w:val="005B0B75"/>
    <w:rsid w:val="005B2086"/>
    <w:rsid w:val="005C2008"/>
    <w:rsid w:val="005C5ED6"/>
    <w:rsid w:val="005D0907"/>
    <w:rsid w:val="005F041E"/>
    <w:rsid w:val="005F16AE"/>
    <w:rsid w:val="005F6E9E"/>
    <w:rsid w:val="005F79EC"/>
    <w:rsid w:val="0060017F"/>
    <w:rsid w:val="00600C20"/>
    <w:rsid w:val="00603C72"/>
    <w:rsid w:val="00611EB4"/>
    <w:rsid w:val="00614688"/>
    <w:rsid w:val="00615ED1"/>
    <w:rsid w:val="00617CAF"/>
    <w:rsid w:val="00627127"/>
    <w:rsid w:val="00630D84"/>
    <w:rsid w:val="006318C0"/>
    <w:rsid w:val="00632CB1"/>
    <w:rsid w:val="00632E30"/>
    <w:rsid w:val="00632E4B"/>
    <w:rsid w:val="00637915"/>
    <w:rsid w:val="0064049A"/>
    <w:rsid w:val="006425A3"/>
    <w:rsid w:val="00646B62"/>
    <w:rsid w:val="006473E1"/>
    <w:rsid w:val="00656C8F"/>
    <w:rsid w:val="00657AC4"/>
    <w:rsid w:val="00664348"/>
    <w:rsid w:val="0066437D"/>
    <w:rsid w:val="00664F1A"/>
    <w:rsid w:val="0067012B"/>
    <w:rsid w:val="00671F37"/>
    <w:rsid w:val="006821E8"/>
    <w:rsid w:val="006861C8"/>
    <w:rsid w:val="00690B77"/>
    <w:rsid w:val="00692DE1"/>
    <w:rsid w:val="00695BE1"/>
    <w:rsid w:val="006A0137"/>
    <w:rsid w:val="006A0718"/>
    <w:rsid w:val="006A4E10"/>
    <w:rsid w:val="006A571F"/>
    <w:rsid w:val="006A5988"/>
    <w:rsid w:val="006C2A22"/>
    <w:rsid w:val="006C36E9"/>
    <w:rsid w:val="006C45CE"/>
    <w:rsid w:val="006C6017"/>
    <w:rsid w:val="006C70E7"/>
    <w:rsid w:val="006C76DB"/>
    <w:rsid w:val="006D5E12"/>
    <w:rsid w:val="006D6FAA"/>
    <w:rsid w:val="006D6FD5"/>
    <w:rsid w:val="006E1C00"/>
    <w:rsid w:val="006E3CFE"/>
    <w:rsid w:val="006E514C"/>
    <w:rsid w:val="006F0CCC"/>
    <w:rsid w:val="006F1A2A"/>
    <w:rsid w:val="006F1FD7"/>
    <w:rsid w:val="006F446A"/>
    <w:rsid w:val="006F77DA"/>
    <w:rsid w:val="0070068A"/>
    <w:rsid w:val="007011C9"/>
    <w:rsid w:val="00702D79"/>
    <w:rsid w:val="00706395"/>
    <w:rsid w:val="00717D45"/>
    <w:rsid w:val="0072096D"/>
    <w:rsid w:val="0072260E"/>
    <w:rsid w:val="00724388"/>
    <w:rsid w:val="00727406"/>
    <w:rsid w:val="007303C7"/>
    <w:rsid w:val="00731D6D"/>
    <w:rsid w:val="00733541"/>
    <w:rsid w:val="007363A8"/>
    <w:rsid w:val="00736A9A"/>
    <w:rsid w:val="00736EF2"/>
    <w:rsid w:val="00741B9B"/>
    <w:rsid w:val="0074253C"/>
    <w:rsid w:val="00743657"/>
    <w:rsid w:val="007436CF"/>
    <w:rsid w:val="0074372C"/>
    <w:rsid w:val="00746C0E"/>
    <w:rsid w:val="00746E7C"/>
    <w:rsid w:val="007502BA"/>
    <w:rsid w:val="00755980"/>
    <w:rsid w:val="007575C3"/>
    <w:rsid w:val="007579ED"/>
    <w:rsid w:val="007639B4"/>
    <w:rsid w:val="007654F3"/>
    <w:rsid w:val="007655EB"/>
    <w:rsid w:val="007676EF"/>
    <w:rsid w:val="007816D2"/>
    <w:rsid w:val="0078475D"/>
    <w:rsid w:val="0078590C"/>
    <w:rsid w:val="00785F2E"/>
    <w:rsid w:val="00787E8E"/>
    <w:rsid w:val="00796346"/>
    <w:rsid w:val="00797A28"/>
    <w:rsid w:val="007A124E"/>
    <w:rsid w:val="007A136E"/>
    <w:rsid w:val="007A305E"/>
    <w:rsid w:val="007A4647"/>
    <w:rsid w:val="007A6287"/>
    <w:rsid w:val="007B29D2"/>
    <w:rsid w:val="007B5276"/>
    <w:rsid w:val="007B57BA"/>
    <w:rsid w:val="007B5D2B"/>
    <w:rsid w:val="007B7113"/>
    <w:rsid w:val="007C102D"/>
    <w:rsid w:val="007C55B7"/>
    <w:rsid w:val="007C5E53"/>
    <w:rsid w:val="007C6F2F"/>
    <w:rsid w:val="007D0177"/>
    <w:rsid w:val="007D2F56"/>
    <w:rsid w:val="007D5B2D"/>
    <w:rsid w:val="007E0993"/>
    <w:rsid w:val="007E0E4D"/>
    <w:rsid w:val="007E3119"/>
    <w:rsid w:val="007E3CF8"/>
    <w:rsid w:val="007E5D35"/>
    <w:rsid w:val="007F099B"/>
    <w:rsid w:val="007F32F4"/>
    <w:rsid w:val="007F344F"/>
    <w:rsid w:val="007F545F"/>
    <w:rsid w:val="007F5EFF"/>
    <w:rsid w:val="00801D8C"/>
    <w:rsid w:val="008021DB"/>
    <w:rsid w:val="00805126"/>
    <w:rsid w:val="00807D0B"/>
    <w:rsid w:val="00810959"/>
    <w:rsid w:val="00811788"/>
    <w:rsid w:val="00812A15"/>
    <w:rsid w:val="00814C4C"/>
    <w:rsid w:val="00821C40"/>
    <w:rsid w:val="0082242E"/>
    <w:rsid w:val="00822DD3"/>
    <w:rsid w:val="00823520"/>
    <w:rsid w:val="00827F70"/>
    <w:rsid w:val="00832696"/>
    <w:rsid w:val="00841048"/>
    <w:rsid w:val="00846A26"/>
    <w:rsid w:val="00851059"/>
    <w:rsid w:val="00853E03"/>
    <w:rsid w:val="008567D0"/>
    <w:rsid w:val="008617C0"/>
    <w:rsid w:val="00862829"/>
    <w:rsid w:val="0086363D"/>
    <w:rsid w:val="00871F47"/>
    <w:rsid w:val="00877C43"/>
    <w:rsid w:val="00890E2C"/>
    <w:rsid w:val="00890F0B"/>
    <w:rsid w:val="00891333"/>
    <w:rsid w:val="00891F9A"/>
    <w:rsid w:val="00895CC0"/>
    <w:rsid w:val="00897E45"/>
    <w:rsid w:val="008A6A06"/>
    <w:rsid w:val="008B067D"/>
    <w:rsid w:val="008B1620"/>
    <w:rsid w:val="008B2B5D"/>
    <w:rsid w:val="008B2EAC"/>
    <w:rsid w:val="008B3E15"/>
    <w:rsid w:val="008B4EEB"/>
    <w:rsid w:val="008B5235"/>
    <w:rsid w:val="008B609C"/>
    <w:rsid w:val="008B65DA"/>
    <w:rsid w:val="008C0574"/>
    <w:rsid w:val="008C06E1"/>
    <w:rsid w:val="008C1D59"/>
    <w:rsid w:val="008C21E6"/>
    <w:rsid w:val="008D1CB6"/>
    <w:rsid w:val="008D28B7"/>
    <w:rsid w:val="008D2B4A"/>
    <w:rsid w:val="008D4352"/>
    <w:rsid w:val="008D7C95"/>
    <w:rsid w:val="008E067B"/>
    <w:rsid w:val="008E0EC9"/>
    <w:rsid w:val="008E2767"/>
    <w:rsid w:val="008E3854"/>
    <w:rsid w:val="008E7BE7"/>
    <w:rsid w:val="008F6FA1"/>
    <w:rsid w:val="009006E8"/>
    <w:rsid w:val="00913CF4"/>
    <w:rsid w:val="009177E7"/>
    <w:rsid w:val="009249E1"/>
    <w:rsid w:val="0093159B"/>
    <w:rsid w:val="00932285"/>
    <w:rsid w:val="00932316"/>
    <w:rsid w:val="0093241B"/>
    <w:rsid w:val="009326E3"/>
    <w:rsid w:val="00932D53"/>
    <w:rsid w:val="0093397C"/>
    <w:rsid w:val="00935178"/>
    <w:rsid w:val="00936A17"/>
    <w:rsid w:val="00940C96"/>
    <w:rsid w:val="0094184E"/>
    <w:rsid w:val="009471C8"/>
    <w:rsid w:val="00947654"/>
    <w:rsid w:val="0095595B"/>
    <w:rsid w:val="00961223"/>
    <w:rsid w:val="009656FB"/>
    <w:rsid w:val="00967ADB"/>
    <w:rsid w:val="00977572"/>
    <w:rsid w:val="00977D16"/>
    <w:rsid w:val="00977D9B"/>
    <w:rsid w:val="00986144"/>
    <w:rsid w:val="00992160"/>
    <w:rsid w:val="0099241C"/>
    <w:rsid w:val="00992494"/>
    <w:rsid w:val="0099787B"/>
    <w:rsid w:val="009A0746"/>
    <w:rsid w:val="009A1A35"/>
    <w:rsid w:val="009B2C27"/>
    <w:rsid w:val="009B525E"/>
    <w:rsid w:val="009B7A21"/>
    <w:rsid w:val="009C1302"/>
    <w:rsid w:val="009C4170"/>
    <w:rsid w:val="009C5162"/>
    <w:rsid w:val="009C6776"/>
    <w:rsid w:val="009C6A08"/>
    <w:rsid w:val="009D0917"/>
    <w:rsid w:val="009D14FC"/>
    <w:rsid w:val="009E04FA"/>
    <w:rsid w:val="009E281D"/>
    <w:rsid w:val="009E5A86"/>
    <w:rsid w:val="009E5E84"/>
    <w:rsid w:val="009E65F8"/>
    <w:rsid w:val="009F3D5F"/>
    <w:rsid w:val="009F6EB3"/>
    <w:rsid w:val="00A0142D"/>
    <w:rsid w:val="00A029E7"/>
    <w:rsid w:val="00A0555F"/>
    <w:rsid w:val="00A065B0"/>
    <w:rsid w:val="00A07DD3"/>
    <w:rsid w:val="00A1234A"/>
    <w:rsid w:val="00A133CF"/>
    <w:rsid w:val="00A1393B"/>
    <w:rsid w:val="00A13E08"/>
    <w:rsid w:val="00A1450C"/>
    <w:rsid w:val="00A14920"/>
    <w:rsid w:val="00A210B9"/>
    <w:rsid w:val="00A27D41"/>
    <w:rsid w:val="00A27F4D"/>
    <w:rsid w:val="00A425F3"/>
    <w:rsid w:val="00A43F01"/>
    <w:rsid w:val="00A47836"/>
    <w:rsid w:val="00A479CF"/>
    <w:rsid w:val="00A558D8"/>
    <w:rsid w:val="00A57BED"/>
    <w:rsid w:val="00A61D81"/>
    <w:rsid w:val="00A704A9"/>
    <w:rsid w:val="00A72E59"/>
    <w:rsid w:val="00A746A6"/>
    <w:rsid w:val="00A747A2"/>
    <w:rsid w:val="00A76D47"/>
    <w:rsid w:val="00A8372E"/>
    <w:rsid w:val="00A83B23"/>
    <w:rsid w:val="00A8503C"/>
    <w:rsid w:val="00A86EBF"/>
    <w:rsid w:val="00A90DCC"/>
    <w:rsid w:val="00A9211E"/>
    <w:rsid w:val="00A95AC5"/>
    <w:rsid w:val="00A9714E"/>
    <w:rsid w:val="00AA4C3E"/>
    <w:rsid w:val="00AB1123"/>
    <w:rsid w:val="00AB121E"/>
    <w:rsid w:val="00AB2462"/>
    <w:rsid w:val="00AB4AD6"/>
    <w:rsid w:val="00AB67A9"/>
    <w:rsid w:val="00AC1D1A"/>
    <w:rsid w:val="00AC1F0B"/>
    <w:rsid w:val="00AD2297"/>
    <w:rsid w:val="00AD29D0"/>
    <w:rsid w:val="00AD5DB6"/>
    <w:rsid w:val="00AD6964"/>
    <w:rsid w:val="00AE3875"/>
    <w:rsid w:val="00AE60AD"/>
    <w:rsid w:val="00AE636D"/>
    <w:rsid w:val="00AE7D46"/>
    <w:rsid w:val="00AE7F44"/>
    <w:rsid w:val="00AF0BD1"/>
    <w:rsid w:val="00AF509C"/>
    <w:rsid w:val="00B02D83"/>
    <w:rsid w:val="00B03E0B"/>
    <w:rsid w:val="00B0563A"/>
    <w:rsid w:val="00B05BF8"/>
    <w:rsid w:val="00B122C9"/>
    <w:rsid w:val="00B14A3A"/>
    <w:rsid w:val="00B169D5"/>
    <w:rsid w:val="00B270F0"/>
    <w:rsid w:val="00B27486"/>
    <w:rsid w:val="00B276A5"/>
    <w:rsid w:val="00B41558"/>
    <w:rsid w:val="00B55ABE"/>
    <w:rsid w:val="00B570E9"/>
    <w:rsid w:val="00B627ED"/>
    <w:rsid w:val="00B64054"/>
    <w:rsid w:val="00B641DB"/>
    <w:rsid w:val="00B722FC"/>
    <w:rsid w:val="00B756F8"/>
    <w:rsid w:val="00B75A22"/>
    <w:rsid w:val="00B8013D"/>
    <w:rsid w:val="00B85DB8"/>
    <w:rsid w:val="00B8601A"/>
    <w:rsid w:val="00B86F2C"/>
    <w:rsid w:val="00B90305"/>
    <w:rsid w:val="00B94E38"/>
    <w:rsid w:val="00B97F60"/>
    <w:rsid w:val="00BA0DC8"/>
    <w:rsid w:val="00BA3054"/>
    <w:rsid w:val="00BA4789"/>
    <w:rsid w:val="00BA70FE"/>
    <w:rsid w:val="00BB1014"/>
    <w:rsid w:val="00BB1EEA"/>
    <w:rsid w:val="00BB7B35"/>
    <w:rsid w:val="00BC0694"/>
    <w:rsid w:val="00BC1FB2"/>
    <w:rsid w:val="00BC397E"/>
    <w:rsid w:val="00BC4705"/>
    <w:rsid w:val="00BC6774"/>
    <w:rsid w:val="00BC7AC2"/>
    <w:rsid w:val="00BD0ABF"/>
    <w:rsid w:val="00BD44DB"/>
    <w:rsid w:val="00BD79CD"/>
    <w:rsid w:val="00BE2F9B"/>
    <w:rsid w:val="00BE35F3"/>
    <w:rsid w:val="00BF35B1"/>
    <w:rsid w:val="00BF37E6"/>
    <w:rsid w:val="00BF47E1"/>
    <w:rsid w:val="00BF6897"/>
    <w:rsid w:val="00BF7FD9"/>
    <w:rsid w:val="00C04336"/>
    <w:rsid w:val="00C20A30"/>
    <w:rsid w:val="00C241D6"/>
    <w:rsid w:val="00C27A77"/>
    <w:rsid w:val="00C336AA"/>
    <w:rsid w:val="00C37EC5"/>
    <w:rsid w:val="00C4232C"/>
    <w:rsid w:val="00C457B3"/>
    <w:rsid w:val="00C513A8"/>
    <w:rsid w:val="00C55A2E"/>
    <w:rsid w:val="00C565C4"/>
    <w:rsid w:val="00C62413"/>
    <w:rsid w:val="00C718B9"/>
    <w:rsid w:val="00C72E73"/>
    <w:rsid w:val="00C73FA7"/>
    <w:rsid w:val="00C76694"/>
    <w:rsid w:val="00C776F9"/>
    <w:rsid w:val="00C82066"/>
    <w:rsid w:val="00C937AA"/>
    <w:rsid w:val="00C95BB1"/>
    <w:rsid w:val="00C95E63"/>
    <w:rsid w:val="00C96CC3"/>
    <w:rsid w:val="00C976A4"/>
    <w:rsid w:val="00CA5E3C"/>
    <w:rsid w:val="00CA6DC7"/>
    <w:rsid w:val="00CA73DB"/>
    <w:rsid w:val="00CA7685"/>
    <w:rsid w:val="00CB5D8F"/>
    <w:rsid w:val="00CB5D92"/>
    <w:rsid w:val="00CC1537"/>
    <w:rsid w:val="00CC1575"/>
    <w:rsid w:val="00CC375D"/>
    <w:rsid w:val="00CC5439"/>
    <w:rsid w:val="00CD1FEF"/>
    <w:rsid w:val="00CD210A"/>
    <w:rsid w:val="00CD286F"/>
    <w:rsid w:val="00CE2D26"/>
    <w:rsid w:val="00CE34E0"/>
    <w:rsid w:val="00CE7A77"/>
    <w:rsid w:val="00CF432A"/>
    <w:rsid w:val="00CF4782"/>
    <w:rsid w:val="00CF6955"/>
    <w:rsid w:val="00CF7048"/>
    <w:rsid w:val="00CF7F70"/>
    <w:rsid w:val="00D059D4"/>
    <w:rsid w:val="00D06995"/>
    <w:rsid w:val="00D161C3"/>
    <w:rsid w:val="00D16614"/>
    <w:rsid w:val="00D21400"/>
    <w:rsid w:val="00D25507"/>
    <w:rsid w:val="00D34B41"/>
    <w:rsid w:val="00D37345"/>
    <w:rsid w:val="00D377B0"/>
    <w:rsid w:val="00D47B20"/>
    <w:rsid w:val="00D47EDC"/>
    <w:rsid w:val="00D52863"/>
    <w:rsid w:val="00D534BC"/>
    <w:rsid w:val="00D53BBB"/>
    <w:rsid w:val="00D55AF3"/>
    <w:rsid w:val="00D578ED"/>
    <w:rsid w:val="00D60045"/>
    <w:rsid w:val="00D60C80"/>
    <w:rsid w:val="00D6137D"/>
    <w:rsid w:val="00D6289C"/>
    <w:rsid w:val="00D66E0C"/>
    <w:rsid w:val="00D752F6"/>
    <w:rsid w:val="00D7732E"/>
    <w:rsid w:val="00D833F0"/>
    <w:rsid w:val="00D84474"/>
    <w:rsid w:val="00D87BEE"/>
    <w:rsid w:val="00D93CAF"/>
    <w:rsid w:val="00DA13A2"/>
    <w:rsid w:val="00DA59E0"/>
    <w:rsid w:val="00DA663E"/>
    <w:rsid w:val="00DB17FA"/>
    <w:rsid w:val="00DB2C7B"/>
    <w:rsid w:val="00DB2CB5"/>
    <w:rsid w:val="00DB3C69"/>
    <w:rsid w:val="00DC228B"/>
    <w:rsid w:val="00DC2854"/>
    <w:rsid w:val="00DC2AB9"/>
    <w:rsid w:val="00DC35BC"/>
    <w:rsid w:val="00DC781E"/>
    <w:rsid w:val="00DD6479"/>
    <w:rsid w:val="00DD79E5"/>
    <w:rsid w:val="00DE119E"/>
    <w:rsid w:val="00DE2998"/>
    <w:rsid w:val="00DE35C9"/>
    <w:rsid w:val="00DF1EDB"/>
    <w:rsid w:val="00DF3DB9"/>
    <w:rsid w:val="00E00CA0"/>
    <w:rsid w:val="00E0314A"/>
    <w:rsid w:val="00E03F60"/>
    <w:rsid w:val="00E07AAC"/>
    <w:rsid w:val="00E07CE9"/>
    <w:rsid w:val="00E15FCC"/>
    <w:rsid w:val="00E23A64"/>
    <w:rsid w:val="00E24C7D"/>
    <w:rsid w:val="00E264F7"/>
    <w:rsid w:val="00E26E6F"/>
    <w:rsid w:val="00E26F0B"/>
    <w:rsid w:val="00E30738"/>
    <w:rsid w:val="00E37D98"/>
    <w:rsid w:val="00E42496"/>
    <w:rsid w:val="00E435F0"/>
    <w:rsid w:val="00E43701"/>
    <w:rsid w:val="00E460A1"/>
    <w:rsid w:val="00E46838"/>
    <w:rsid w:val="00E60FBD"/>
    <w:rsid w:val="00E669F4"/>
    <w:rsid w:val="00E70C28"/>
    <w:rsid w:val="00E75C4E"/>
    <w:rsid w:val="00E828F7"/>
    <w:rsid w:val="00E8433B"/>
    <w:rsid w:val="00E9422C"/>
    <w:rsid w:val="00E9608E"/>
    <w:rsid w:val="00EA3489"/>
    <w:rsid w:val="00EB1DDE"/>
    <w:rsid w:val="00EB38B4"/>
    <w:rsid w:val="00EB583E"/>
    <w:rsid w:val="00EB6028"/>
    <w:rsid w:val="00EC00A5"/>
    <w:rsid w:val="00EC44B2"/>
    <w:rsid w:val="00EC4965"/>
    <w:rsid w:val="00EC7CDD"/>
    <w:rsid w:val="00ED1B32"/>
    <w:rsid w:val="00ED2A8F"/>
    <w:rsid w:val="00ED4D97"/>
    <w:rsid w:val="00ED5913"/>
    <w:rsid w:val="00ED7210"/>
    <w:rsid w:val="00ED7295"/>
    <w:rsid w:val="00EE0B48"/>
    <w:rsid w:val="00EE0F2E"/>
    <w:rsid w:val="00EE4988"/>
    <w:rsid w:val="00EF167E"/>
    <w:rsid w:val="00EF2F88"/>
    <w:rsid w:val="00EF52F1"/>
    <w:rsid w:val="00F00B3B"/>
    <w:rsid w:val="00F0740E"/>
    <w:rsid w:val="00F10302"/>
    <w:rsid w:val="00F1379B"/>
    <w:rsid w:val="00F13ACF"/>
    <w:rsid w:val="00F14139"/>
    <w:rsid w:val="00F17AF1"/>
    <w:rsid w:val="00F21598"/>
    <w:rsid w:val="00F30906"/>
    <w:rsid w:val="00F32C96"/>
    <w:rsid w:val="00F46F34"/>
    <w:rsid w:val="00F51667"/>
    <w:rsid w:val="00F54218"/>
    <w:rsid w:val="00F61A21"/>
    <w:rsid w:val="00F643C0"/>
    <w:rsid w:val="00F64E87"/>
    <w:rsid w:val="00F6677C"/>
    <w:rsid w:val="00F67A20"/>
    <w:rsid w:val="00F708DD"/>
    <w:rsid w:val="00F716CB"/>
    <w:rsid w:val="00F71D23"/>
    <w:rsid w:val="00F72959"/>
    <w:rsid w:val="00F729E0"/>
    <w:rsid w:val="00F74064"/>
    <w:rsid w:val="00F751DF"/>
    <w:rsid w:val="00F77E58"/>
    <w:rsid w:val="00F82C48"/>
    <w:rsid w:val="00F9231B"/>
    <w:rsid w:val="00F95317"/>
    <w:rsid w:val="00F955F4"/>
    <w:rsid w:val="00F97101"/>
    <w:rsid w:val="00FA0E53"/>
    <w:rsid w:val="00FA0FED"/>
    <w:rsid w:val="00FA17DB"/>
    <w:rsid w:val="00FA18F8"/>
    <w:rsid w:val="00FA25C0"/>
    <w:rsid w:val="00FA6202"/>
    <w:rsid w:val="00FA7059"/>
    <w:rsid w:val="00FB1298"/>
    <w:rsid w:val="00FB20C9"/>
    <w:rsid w:val="00FB4092"/>
    <w:rsid w:val="00FB46C5"/>
    <w:rsid w:val="00FC1C05"/>
    <w:rsid w:val="00FC445E"/>
    <w:rsid w:val="00FC7BC1"/>
    <w:rsid w:val="00FD043C"/>
    <w:rsid w:val="00FD0655"/>
    <w:rsid w:val="00FD1536"/>
    <w:rsid w:val="00FD28B9"/>
    <w:rsid w:val="00FD29FA"/>
    <w:rsid w:val="00FD39A2"/>
    <w:rsid w:val="00FD4DEB"/>
    <w:rsid w:val="00FD59E7"/>
    <w:rsid w:val="00FD6B26"/>
    <w:rsid w:val="00FD7FE3"/>
    <w:rsid w:val="00FE0DF1"/>
    <w:rsid w:val="00FE32FB"/>
    <w:rsid w:val="00FE466F"/>
    <w:rsid w:val="00FE5082"/>
    <w:rsid w:val="00FE7030"/>
    <w:rsid w:val="00FE7DF1"/>
    <w:rsid w:val="00FF2D93"/>
    <w:rsid w:val="00FF540D"/>
    <w:rsid w:val="1AA60BB2"/>
    <w:rsid w:val="1C147194"/>
    <w:rsid w:val="1C2A4906"/>
    <w:rsid w:val="21240E45"/>
    <w:rsid w:val="32931B07"/>
    <w:rsid w:val="34670FD0"/>
    <w:rsid w:val="40CD5073"/>
    <w:rsid w:val="451C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99"/>
    <w:pPr>
      <w:widowControl w:val="0"/>
      <w:spacing w:beforeLines="30" w:afterLines="30" w:line="300" w:lineRule="auto"/>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5"/>
    <w:qFormat/>
    <w:uiPriority w:val="99"/>
    <w:rPr>
      <w:rFonts w:ascii="Times New Roman" w:hAnsi="Times New Roman" w:eastAsia="仿宋_GB2312" w:cs="Times New Roman"/>
      <w:sz w:val="18"/>
      <w:szCs w:val="18"/>
    </w:rPr>
  </w:style>
  <w:style w:type="character" w:customStyle="1" w:styleId="13">
    <w:name w:val="页脚 字符"/>
    <w:basedOn w:val="9"/>
    <w:link w:val="4"/>
    <w:qFormat/>
    <w:uiPriority w:val="99"/>
    <w:rPr>
      <w:rFonts w:ascii="Times New Roman" w:hAnsi="Times New Roman" w:eastAsia="仿宋_GB2312" w:cs="Times New Roman"/>
      <w:sz w:val="18"/>
      <w:szCs w:val="18"/>
    </w:rPr>
  </w:style>
  <w:style w:type="character" w:customStyle="1" w:styleId="14">
    <w:name w:val="批注框文本 字符"/>
    <w:basedOn w:val="9"/>
    <w:link w:val="3"/>
    <w:semiHidden/>
    <w:qFormat/>
    <w:uiPriority w:val="99"/>
    <w:rPr>
      <w:rFonts w:ascii="Times New Roman" w:hAnsi="Times New Roman" w:eastAsia="仿宋_GB2312" w:cs="Times New Roman"/>
      <w:sz w:val="18"/>
      <w:szCs w:val="18"/>
    </w:rPr>
  </w:style>
  <w:style w:type="character" w:customStyle="1" w:styleId="15">
    <w:name w:val="批注文字 字符"/>
    <w:basedOn w:val="9"/>
    <w:link w:val="2"/>
    <w:qFormat/>
    <w:uiPriority w:val="0"/>
    <w:rPr>
      <w:rFonts w:ascii="Times New Roman" w:hAnsi="Times New Roman" w:eastAsia="仿宋_GB2312" w:cs="Times New Roman"/>
      <w:sz w:val="32"/>
      <w:szCs w:val="32"/>
    </w:rPr>
  </w:style>
  <w:style w:type="character" w:customStyle="1" w:styleId="16">
    <w:name w:val="批注主题 字符"/>
    <w:basedOn w:val="15"/>
    <w:link w:val="6"/>
    <w:semiHidden/>
    <w:qFormat/>
    <w:uiPriority w:val="99"/>
    <w:rPr>
      <w:rFonts w:ascii="Times New Roman" w:hAnsi="Times New Roman" w:eastAsia="仿宋_GB2312" w:cs="Times New Roman"/>
      <w:b/>
      <w:bCs/>
      <w:sz w:val="32"/>
      <w:szCs w:val="32"/>
    </w:rPr>
  </w:style>
  <w:style w:type="paragraph" w:customStyle="1" w:styleId="17">
    <w:name w:val="07－图表号"/>
    <w:link w:val="18"/>
    <w:qFormat/>
    <w:uiPriority w:val="0"/>
    <w:pPr>
      <w:spacing w:line="360" w:lineRule="auto"/>
      <w:jc w:val="center"/>
    </w:pPr>
    <w:rPr>
      <w:rFonts w:ascii="Calibri" w:hAnsi="Calibri" w:eastAsia="仿宋_GB2312" w:cs="Times New Roman"/>
      <w:b/>
      <w:spacing w:val="6"/>
      <w:kern w:val="28"/>
      <w:sz w:val="24"/>
      <w:szCs w:val="28"/>
      <w:lang w:val="en-US" w:eastAsia="zh-CN" w:bidi="ar-SA"/>
    </w:rPr>
  </w:style>
  <w:style w:type="character" w:customStyle="1" w:styleId="18">
    <w:name w:val="07－图表号 Char"/>
    <w:link w:val="17"/>
    <w:qFormat/>
    <w:uiPriority w:val="0"/>
    <w:rPr>
      <w:rFonts w:ascii="Calibri" w:hAnsi="Calibri" w:eastAsia="仿宋_GB2312" w:cs="Times New Roman"/>
      <w:b/>
      <w:spacing w:val="6"/>
      <w:kern w:val="28"/>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1272</Words>
  <Characters>1344</Characters>
  <Lines>9</Lines>
  <Paragraphs>2</Paragraphs>
  <TotalTime>3</TotalTime>
  <ScaleCrop>false</ScaleCrop>
  <LinksUpToDate>false</LinksUpToDate>
  <CharactersWithSpaces>1348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2020-08-05T03:17:00Z</dcterms:created>
  <dc:creator>陈沃明</dc:creator>
  <cp:lastModifiedBy>11</cp:lastModifiedBy>
  <cp:lastPrinted>2020-08-12T03:07:00Z</cp:lastPrinted>
  <dcterms:modified xsi:type="dcterms:W3CDTF">2025-04-16T08:52:21Z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F3B06EFAA1774CC4B6CE291D0A2BFBE8_12</vt:lpwstr>
  </property>
  <property fmtid="{D5CDD505-2E9C-101B-9397-08002B2CF9AE}" pid="4" name="KSOTemplateDocerSaveRecord">
    <vt:lpwstr>eyJoZGlkIjoiOGY0YzZhM2ExNGIwYmEyZjY5MjRhYjk1NzBmYTU5YjQiLCJ1c2VySWQiOiIyODg3NjI5MzEifQ==</vt:lpwstr>
  </property>
</Properties>
</file>