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2"/>
        </w:rPr>
      </w:pPr>
      <w:r>
        <w:rPr>
          <w:rFonts w:hint="eastAsia" w:ascii="黑体" w:hAnsi="黑体" w:eastAsia="黑体"/>
          <w:color w:val="000000"/>
          <w:sz w:val="32"/>
          <w:szCs w:val="32"/>
        </w:rPr>
        <w:t>附件1</w:t>
      </w:r>
    </w:p>
    <w:p>
      <w:pPr>
        <w:adjustRightInd w:val="0"/>
        <w:snapToGrid w:val="0"/>
        <w:spacing w:line="59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adjustRightInd w:val="0"/>
        <w:snapToGrid w:val="0"/>
        <w:spacing w:line="59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adjustRightInd w:val="0"/>
        <w:snapToGrid w:val="0"/>
        <w:spacing w:line="700" w:lineRule="exact"/>
        <w:jc w:val="center"/>
        <w:rPr>
          <w:rFonts w:hint="eastAsia" w:ascii="方正小标宋简体" w:eastAsia="方正小标宋简体"/>
          <w:color w:val="000000"/>
          <w:kern w:val="0"/>
          <w:sz w:val="52"/>
          <w:szCs w:val="52"/>
        </w:rPr>
      </w:pPr>
      <w:r>
        <w:rPr>
          <w:rFonts w:hint="eastAsia" w:ascii="方正小标宋简体" w:eastAsia="方正小标宋简体"/>
          <w:color w:val="000000"/>
          <w:kern w:val="0"/>
          <w:sz w:val="52"/>
          <w:szCs w:val="52"/>
          <w:lang w:eastAsia="zh-CN"/>
        </w:rPr>
        <w:t>新会区</w:t>
      </w:r>
      <w:r>
        <w:rPr>
          <w:rFonts w:hint="eastAsia" w:ascii="方正小标宋简体" w:eastAsia="方正小标宋简体"/>
          <w:color w:val="000000"/>
          <w:kern w:val="0"/>
          <w:sz w:val="52"/>
          <w:szCs w:val="52"/>
        </w:rPr>
        <w:t>重点农业龙头企业</w:t>
      </w:r>
    </w:p>
    <w:p>
      <w:pPr>
        <w:adjustRightInd w:val="0"/>
        <w:snapToGrid w:val="0"/>
        <w:spacing w:line="59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adjustRightInd w:val="0"/>
        <w:snapToGrid w:val="0"/>
        <w:spacing w:line="59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adjustRightInd w:val="0"/>
        <w:snapToGrid w:val="0"/>
        <w:spacing w:line="900" w:lineRule="exact"/>
        <w:jc w:val="center"/>
        <w:rPr>
          <w:rFonts w:hint="eastAsia" w:ascii="方正小标宋简体" w:eastAsia="方正小标宋简体"/>
          <w:color w:val="000000"/>
          <w:kern w:val="0"/>
          <w:sz w:val="72"/>
          <w:szCs w:val="72"/>
        </w:rPr>
      </w:pPr>
      <w:r>
        <w:rPr>
          <w:rFonts w:hint="eastAsia" w:ascii="方正小标宋简体" w:eastAsia="方正小标宋简体"/>
          <w:color w:val="000000"/>
          <w:kern w:val="0"/>
          <w:sz w:val="72"/>
          <w:szCs w:val="72"/>
        </w:rPr>
        <w:t>申</w:t>
      </w:r>
    </w:p>
    <w:p>
      <w:pPr>
        <w:adjustRightInd w:val="0"/>
        <w:snapToGrid w:val="0"/>
        <w:spacing w:line="900" w:lineRule="exact"/>
        <w:jc w:val="center"/>
        <w:rPr>
          <w:rFonts w:hint="eastAsia" w:ascii="方正小标宋简体" w:eastAsia="方正小标宋简体"/>
          <w:color w:val="000000"/>
          <w:kern w:val="0"/>
          <w:sz w:val="72"/>
          <w:szCs w:val="72"/>
        </w:rPr>
      </w:pPr>
      <w:r>
        <w:rPr>
          <w:rFonts w:hint="eastAsia" w:ascii="方正小标宋简体" w:eastAsia="方正小标宋简体"/>
          <w:color w:val="000000"/>
          <w:kern w:val="0"/>
          <w:sz w:val="72"/>
          <w:szCs w:val="72"/>
        </w:rPr>
        <w:t xml:space="preserve"> </w:t>
      </w:r>
    </w:p>
    <w:p>
      <w:pPr>
        <w:adjustRightInd w:val="0"/>
        <w:snapToGrid w:val="0"/>
        <w:spacing w:line="900" w:lineRule="exact"/>
        <w:jc w:val="center"/>
        <w:rPr>
          <w:rFonts w:hint="eastAsia" w:ascii="方正小标宋简体" w:eastAsia="方正小标宋简体"/>
          <w:color w:val="000000"/>
          <w:kern w:val="0"/>
          <w:sz w:val="72"/>
          <w:szCs w:val="72"/>
        </w:rPr>
      </w:pPr>
      <w:r>
        <w:rPr>
          <w:rFonts w:hint="eastAsia" w:ascii="方正小标宋简体" w:eastAsia="方正小标宋简体"/>
          <w:color w:val="000000"/>
          <w:kern w:val="0"/>
          <w:sz w:val="72"/>
          <w:szCs w:val="72"/>
        </w:rPr>
        <w:t>报</w:t>
      </w:r>
    </w:p>
    <w:p>
      <w:pPr>
        <w:adjustRightInd w:val="0"/>
        <w:snapToGrid w:val="0"/>
        <w:spacing w:line="900" w:lineRule="exact"/>
        <w:jc w:val="center"/>
        <w:rPr>
          <w:rFonts w:hint="eastAsia" w:ascii="方正小标宋简体" w:eastAsia="方正小标宋简体"/>
          <w:color w:val="000000"/>
          <w:kern w:val="0"/>
          <w:sz w:val="72"/>
          <w:szCs w:val="72"/>
        </w:rPr>
      </w:pPr>
      <w:r>
        <w:rPr>
          <w:rFonts w:hint="eastAsia" w:ascii="方正小标宋简体" w:eastAsia="方正小标宋简体"/>
          <w:color w:val="000000"/>
          <w:kern w:val="0"/>
          <w:sz w:val="72"/>
          <w:szCs w:val="72"/>
        </w:rPr>
        <w:t xml:space="preserve"> </w:t>
      </w:r>
    </w:p>
    <w:p>
      <w:pPr>
        <w:adjustRightInd w:val="0"/>
        <w:snapToGrid w:val="0"/>
        <w:spacing w:line="900" w:lineRule="exact"/>
        <w:jc w:val="center"/>
        <w:rPr>
          <w:rFonts w:hint="eastAsia" w:ascii="方正小标宋简体" w:eastAsia="方正小标宋简体"/>
          <w:color w:val="000000"/>
          <w:kern w:val="0"/>
          <w:sz w:val="72"/>
          <w:szCs w:val="72"/>
        </w:rPr>
      </w:pPr>
      <w:r>
        <w:rPr>
          <w:rFonts w:hint="eastAsia" w:ascii="方正小标宋简体" w:eastAsia="方正小标宋简体"/>
          <w:color w:val="000000"/>
          <w:kern w:val="0"/>
          <w:sz w:val="72"/>
          <w:szCs w:val="72"/>
        </w:rPr>
        <w:t>表</w:t>
      </w:r>
    </w:p>
    <w:p>
      <w:pPr>
        <w:adjustRightInd w:val="0"/>
        <w:snapToGrid w:val="0"/>
        <w:spacing w:line="590" w:lineRule="exact"/>
        <w:jc w:val="center"/>
        <w:rPr>
          <w:rFonts w:hint="eastAsia" w:ascii="方正小标宋简体" w:eastAsia="方正小标宋简体"/>
          <w:color w:val="000000"/>
          <w:kern w:val="0"/>
          <w:sz w:val="48"/>
          <w:szCs w:val="48"/>
        </w:rPr>
      </w:pPr>
      <w:r>
        <w:rPr>
          <w:rFonts w:hint="eastAsia" w:ascii="方正小标宋简体" w:eastAsia="方正小标宋简体"/>
          <w:color w:val="000000"/>
          <w:kern w:val="0"/>
          <w:sz w:val="48"/>
          <w:szCs w:val="48"/>
        </w:rPr>
        <w:t xml:space="preserve"> </w:t>
      </w:r>
    </w:p>
    <w:p>
      <w:pPr>
        <w:adjustRightInd w:val="0"/>
        <w:snapToGrid w:val="0"/>
        <w:spacing w:line="59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adjustRightInd w:val="0"/>
        <w:snapToGrid w:val="0"/>
        <w:spacing w:line="59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adjustRightInd w:val="0"/>
        <w:snapToGrid w:val="0"/>
        <w:spacing w:line="590" w:lineRule="exact"/>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填报单位：            （盖章）</w:t>
      </w:r>
    </w:p>
    <w:p>
      <w:pPr>
        <w:adjustRightInd w:val="0"/>
        <w:snapToGrid w:val="0"/>
        <w:spacing w:line="590" w:lineRule="exact"/>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adjustRightInd w:val="0"/>
        <w:snapToGrid w:val="0"/>
        <w:spacing w:line="590" w:lineRule="exact"/>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填报日期：     年     月    日</w:t>
      </w:r>
    </w:p>
    <w:p>
      <w:pPr>
        <w:adjustRightInd w:val="0"/>
        <w:snapToGrid w:val="0"/>
        <w:spacing w:line="59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sz w:val="32"/>
          <w:szCs w:val="32"/>
        </w:rPr>
        <w:br w:type="page"/>
      </w:r>
      <w:r>
        <w:rPr>
          <w:rFonts w:hint="eastAsia" w:ascii="方正小标宋简体" w:eastAsia="方正小标宋简体"/>
          <w:color w:val="000000"/>
          <w:sz w:val="44"/>
          <w:szCs w:val="44"/>
          <w:lang w:eastAsia="zh-CN"/>
        </w:rPr>
        <w:t>新会区</w:t>
      </w:r>
      <w:r>
        <w:rPr>
          <w:rFonts w:hint="eastAsia" w:ascii="方正小标宋简体" w:eastAsia="方正小标宋简体"/>
          <w:color w:val="000000"/>
          <w:kern w:val="0"/>
          <w:sz w:val="44"/>
          <w:szCs w:val="44"/>
        </w:rPr>
        <w:t>重点农业龙头企业申报表</w:t>
      </w:r>
    </w:p>
    <w:p>
      <w:pPr>
        <w:adjustRightInd w:val="0"/>
        <w:snapToGrid w:val="0"/>
        <w:spacing w:line="59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tbl>
      <w:tblPr>
        <w:tblStyle w:val="3"/>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280"/>
        <w:gridCol w:w="26"/>
        <w:gridCol w:w="1141"/>
        <w:gridCol w:w="928"/>
        <w:gridCol w:w="140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企  业  名  称</w:t>
            </w:r>
          </w:p>
        </w:tc>
        <w:tc>
          <w:tcPr>
            <w:tcW w:w="20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c>
          <w:tcPr>
            <w:tcW w:w="14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9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4373"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企  业  类  型</w:t>
            </w:r>
          </w:p>
        </w:tc>
        <w:tc>
          <w:tcPr>
            <w:tcW w:w="4373"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创  办  时  间</w:t>
            </w:r>
          </w:p>
        </w:tc>
        <w:tc>
          <w:tcPr>
            <w:tcW w:w="20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c>
          <w:tcPr>
            <w:tcW w:w="14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9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联  系  电  话</w:t>
            </w:r>
          </w:p>
        </w:tc>
        <w:tc>
          <w:tcPr>
            <w:tcW w:w="20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c>
          <w:tcPr>
            <w:tcW w:w="14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E-mail:</w:t>
            </w:r>
          </w:p>
        </w:tc>
        <w:tc>
          <w:tcPr>
            <w:tcW w:w="9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法人代表及联系电话</w:t>
            </w:r>
          </w:p>
        </w:tc>
        <w:tc>
          <w:tcPr>
            <w:tcW w:w="4373"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4</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olor w:val="000000"/>
                <w:sz w:val="24"/>
                <w:szCs w:val="24"/>
              </w:rPr>
            </w:pPr>
            <w:r>
              <w:rPr>
                <w:rFonts w:hint="eastAsia" w:ascii="黑体" w:hAnsi="黑体" w:eastAsia="黑体"/>
                <w:color w:val="000000"/>
                <w:sz w:val="24"/>
                <w:szCs w:val="24"/>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1.注册资本金</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2.总资产</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其中：固定资产</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3.总负债</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4.资产负债率</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5.企业销售收入（市场交易额）</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其中：农产品销售收入(或涉农业务收入）</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6.净利润（税后利润）</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7.总资产报酬率</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8.上交税金</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9.农产品及其加工产品出口创汇</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万美元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11</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10.实际利用外资额度</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万美元</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12</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11.农产品加工量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吨</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13</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黑体" w:hAnsi="黑体" w:eastAsia="黑体"/>
                <w:color w:val="000000"/>
                <w:sz w:val="24"/>
                <w:szCs w:val="24"/>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农产品生产、休闲农业型企业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1.自有基地种植面积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107" w:rightChars="-51"/>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——粮油作物种植面积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——蔬菜种植面积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——水果种植面积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——茶叶种植面积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农产品生产、休闲农业型企业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——中草药种植面积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——糖蔗种植面积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——花卉种植面积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——设施大棚面积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——油茶种植面积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——商品林种植面积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——其他作物（</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2.带动农户种植总面积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——粮油作物种植面积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——蔬菜种植面积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——水果种植面积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29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——茶叶种植面积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——中草药种植面积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——糖蔗种植面积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——花卉种植面积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——设施大棚面积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——油茶种植面积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——商品林种植面积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——其他作物（</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）种植面积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3.自有基地家禽出栏量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4.带动农户家禽出栏总量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39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5.自有基地牲畜出栏量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万头</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——生猪出栏量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万头</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——牛羊出栏量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万头</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6.带动农户牲畜出栏总量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万头</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——生猪出栏量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万头</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——牛羊出栏量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万头</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7.自有基地水产养殖面积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——自有基地水产产量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吨</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8.带动农户水产养殖总面积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农产品生产、休闲农业型企业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pacing w:val="-6"/>
                <w:kern w:val="0"/>
                <w:sz w:val="24"/>
                <w:szCs w:val="24"/>
              </w:rPr>
              <w:t>带动农户水产养殖总产量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吨</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49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9.自有海洋捕捞生产渔船数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艘</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——年水产捕捞产量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吨</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10.其他示范基地面积（备注：</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基地）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产品产量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吨</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农产品加工、流通型企业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11.造林面积（木材加工利用企业）</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12.拥有符合食品加工卫生标准的加工场地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13.拥有与经营规模相适应的生产设施</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14.拥有符合国家环保要求的交易场地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15.拥有农产品保鲜贮运设施</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农产品批发市场型企业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16.拥有符合国家环保要求的交易场地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59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p>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17.拥有相关运输、贮藏贮运设施</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农产品电子商务型企业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18.拥有实体体验店</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19.拥有保鲜贮运或其他配套设施</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pacing w:val="-14"/>
                <w:kern w:val="0"/>
                <w:sz w:val="24"/>
                <w:szCs w:val="24"/>
              </w:rPr>
              <w:t>农技推广类企业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20.企业自有先进技术（良种）在全市范围推广面积</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亩</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其他涉农企业</w:t>
            </w: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21.拥有与生产经营规模相适应的生产（加工）基地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sz w:val="24"/>
                <w:szCs w:val="24"/>
              </w:rPr>
            </w:pPr>
          </w:p>
        </w:tc>
        <w:tc>
          <w:tcPr>
            <w:tcW w:w="330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22.拥有与生产经营规模相适应的相关配套设施</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黑体" w:hAnsi="黑体" w:eastAsia="黑体"/>
                <w:color w:val="000000"/>
                <w:sz w:val="24"/>
                <w:szCs w:val="24"/>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1.带动农户数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户</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——合同关系（含“订单”方式）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户</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——合作方式按利润返还</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户</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——股份合作方式按股分红</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户</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69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——其它方式</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户</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2.带动农户增收</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3.平均每户增收</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元</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黑体" w:hAnsi="黑体" w:eastAsia="黑体"/>
                <w:color w:val="000000"/>
                <w:sz w:val="24"/>
                <w:szCs w:val="24"/>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1.小计</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73</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——签订合同职工数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74</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——季节性临时工人</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75</w:t>
            </w:r>
          </w:p>
        </w:tc>
        <w:tc>
          <w:tcPr>
            <w:tcW w:w="230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黑体" w:hAnsi="黑体" w:eastAsia="黑体"/>
                <w:color w:val="000000"/>
                <w:sz w:val="24"/>
                <w:szCs w:val="24"/>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1.建立质量管理体系和标准体系</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2.通过质量管理体系认证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3.GMP认证数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4.HACCP认证数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79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5.FDA认证数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6.能够按照或者高于国家、行业、地方标准进行生产</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7.使用国家或省农产品质量安全追溯管理平台，开展农产品质量安全追溯管理</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8.政府质量奖</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9.无公害农产品认证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10.绿色食品认证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11.有机食品认证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12.获省名牌产品（农业类）认定资质</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13.有入围省名特优新农产品区域公用品牌核心企业、品牌产品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14.农产品原产地认证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89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15.地理标志产品认证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16.获得专利数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17.获得商标数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18.通过环境管理体系认证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19.通过职业健康安全管理体系认证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20.通过食品安全管理体系认证</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21.通过环保达标评定</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22.拥有新品种权数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23.获得省、部级科技成果、推广奖数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24.有专门研发机构</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99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25.专门研发人员数</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人</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100</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26.当年投入研发经费</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27.获得高新技术企业资格</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28.获评农业农村部畜禽养殖标准化示范场、水产健康养殖示范场</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29.列入省“菜篮子”基地、粤港澳大湾区“菜篮子”生产基地及产品加工企业</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30.获评中国种业骨干企业、国家或省级良种场</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31.获评省级及以上休闲农业与乡村旅游示范点、农业公园、3A级及以上旅游景点</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106</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32.建立有企业管理制度和财务制度</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107</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33.其他省级以上奖励数目</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个</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108</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sz w:val="24"/>
                <w:szCs w:val="24"/>
              </w:rPr>
            </w:pPr>
            <w:r>
              <w:rPr>
                <w:rFonts w:hint="eastAsia" w:ascii="仿宋_GB2312" w:eastAsia="仿宋_GB2312"/>
                <w:color w:val="000000"/>
                <w:sz w:val="24"/>
                <w:szCs w:val="24"/>
              </w:rPr>
              <w:t>（填写奖励名称）</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w:t>
            </w:r>
          </w:p>
        </w:tc>
        <w:tc>
          <w:tcPr>
            <w:tcW w:w="11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w:t>
            </w:r>
          </w:p>
        </w:tc>
        <w:tc>
          <w:tcPr>
            <w:tcW w:w="928" w:type="dxa"/>
            <w:tcBorders>
              <w:top w:val="single" w:color="auto" w:sz="4" w:space="0"/>
              <w:left w:val="nil"/>
              <w:bottom w:val="single" w:color="auto" w:sz="4" w:space="0"/>
              <w:right w:val="nil"/>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109</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olor w:val="000000"/>
                <w:sz w:val="24"/>
                <w:szCs w:val="24"/>
              </w:rPr>
              <w:t>企业简介（可另加附页）：</w:t>
            </w:r>
          </w:p>
          <w:p>
            <w:pPr>
              <w:adjustRightInd w:val="0"/>
              <w:snapToGrid w:val="0"/>
              <w:jc w:val="center"/>
              <w:rPr>
                <w:rFonts w:hint="eastAsia" w:ascii="仿宋_GB2312" w:eastAsia="仿宋_GB2312"/>
                <w:color w:val="000000"/>
                <w:sz w:val="24"/>
                <w:szCs w:val="24"/>
              </w:rPr>
            </w:pPr>
          </w:p>
          <w:p>
            <w:pPr>
              <w:adjustRightInd w:val="0"/>
              <w:snapToGrid w:val="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olor w:val="000000"/>
                <w:sz w:val="24"/>
                <w:szCs w:val="24"/>
              </w:rPr>
            </w:pPr>
            <w:r>
              <w:rPr>
                <w:rFonts w:hint="eastAsia" w:ascii="仿宋_GB2312" w:eastAsia="仿宋_GB2312"/>
                <w:color w:val="000000"/>
                <w:sz w:val="24"/>
                <w:szCs w:val="24"/>
                <w:lang w:eastAsia="zh-CN"/>
              </w:rPr>
              <w:t>镇（街）农业农村部门</w:t>
            </w:r>
            <w:r>
              <w:rPr>
                <w:rFonts w:hint="eastAsia" w:ascii="仿宋_GB2312" w:eastAsia="仿宋_GB2312"/>
                <w:color w:val="000000"/>
                <w:sz w:val="24"/>
                <w:szCs w:val="24"/>
              </w:rPr>
              <w:t>意见：</w:t>
            </w:r>
          </w:p>
          <w:p>
            <w:pPr>
              <w:adjustRightInd w:val="0"/>
              <w:snapToGrid w:val="0"/>
              <w:jc w:val="left"/>
              <w:rPr>
                <w:rFonts w:hint="eastAsia" w:ascii="仿宋_GB2312" w:eastAsia="仿宋_GB2312"/>
                <w:color w:val="000000"/>
                <w:sz w:val="24"/>
                <w:szCs w:val="24"/>
              </w:rPr>
            </w:pPr>
          </w:p>
          <w:p>
            <w:pPr>
              <w:adjustRightInd w:val="0"/>
              <w:snapToGrid w:val="0"/>
              <w:jc w:val="left"/>
              <w:rPr>
                <w:rFonts w:hint="eastAsia" w:ascii="仿宋_GB2312" w:eastAsia="仿宋_GB2312"/>
                <w:color w:val="000000"/>
                <w:sz w:val="24"/>
                <w:szCs w:val="24"/>
              </w:rPr>
            </w:pPr>
          </w:p>
          <w:p>
            <w:pPr>
              <w:adjustRightInd w:val="0"/>
              <w:snapToGrid w:val="0"/>
              <w:jc w:val="left"/>
              <w:rPr>
                <w:rFonts w:hint="eastAsia" w:ascii="仿宋_GB2312" w:eastAsia="仿宋_GB2312"/>
                <w:color w:val="000000"/>
                <w:sz w:val="24"/>
                <w:szCs w:val="24"/>
              </w:rPr>
            </w:pPr>
          </w:p>
          <w:p>
            <w:pPr>
              <w:adjustRightInd w:val="0"/>
              <w:snapToGrid w:val="0"/>
              <w:jc w:val="left"/>
              <w:rPr>
                <w:rFonts w:hint="eastAsia" w:ascii="仿宋_GB2312" w:eastAsia="仿宋_GB2312"/>
                <w:color w:val="000000"/>
                <w:sz w:val="24"/>
                <w:szCs w:val="24"/>
              </w:rPr>
            </w:pPr>
          </w:p>
          <w:p>
            <w:pPr>
              <w:adjustRightInd w:val="0"/>
              <w:snapToGrid w:val="0"/>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4627" w:type="dxa"/>
            <w:gridSpan w:val="2"/>
            <w:tcBorders>
              <w:top w:val="single" w:color="auto" w:sz="4" w:space="0"/>
              <w:left w:val="single" w:color="auto" w:sz="4" w:space="0"/>
              <w:bottom w:val="single" w:color="auto" w:sz="4" w:space="0"/>
              <w:right w:val="single" w:color="auto" w:sz="4" w:space="0"/>
            </w:tcBorders>
          </w:tcPr>
          <w:p>
            <w:pPr>
              <w:widowControl/>
              <w:rPr>
                <w:rFonts w:ascii="仿宋_GB2312" w:eastAsia="仿宋_GB2312"/>
                <w:color w:val="000000"/>
                <w:sz w:val="24"/>
                <w:szCs w:val="24"/>
              </w:rPr>
            </w:pPr>
            <w:r>
              <w:rPr>
                <w:rFonts w:hint="eastAsia" w:ascii="仿宋_GB2312" w:eastAsia="仿宋_GB2312"/>
                <w:color w:val="000000"/>
                <w:sz w:val="24"/>
                <w:szCs w:val="24"/>
                <w:lang w:eastAsia="zh-CN"/>
              </w:rPr>
              <w:t>专家组组长</w:t>
            </w:r>
            <w:r>
              <w:rPr>
                <w:rFonts w:hint="eastAsia" w:ascii="仿宋_GB2312" w:eastAsia="仿宋_GB2312"/>
                <w:color w:val="000000"/>
                <w:sz w:val="24"/>
                <w:szCs w:val="24"/>
              </w:rPr>
              <w:t>意见：</w:t>
            </w:r>
          </w:p>
          <w:p>
            <w:pPr>
              <w:widowControl/>
              <w:rPr>
                <w:rFonts w:ascii="仿宋_GB2312" w:eastAsia="仿宋_GB2312"/>
                <w:color w:val="000000"/>
                <w:sz w:val="24"/>
                <w:szCs w:val="24"/>
              </w:rPr>
            </w:pPr>
          </w:p>
        </w:tc>
        <w:tc>
          <w:tcPr>
            <w:tcW w:w="4399" w:type="dxa"/>
            <w:gridSpan w:val="5"/>
            <w:tcBorders>
              <w:top w:val="single" w:color="auto" w:sz="4" w:space="0"/>
              <w:left w:val="nil"/>
              <w:bottom w:val="single" w:color="auto" w:sz="4" w:space="0"/>
              <w:right w:val="single" w:color="auto" w:sz="4" w:space="0"/>
            </w:tcBorders>
          </w:tcPr>
          <w:p>
            <w:pPr>
              <w:adjustRightInd w:val="0"/>
              <w:snapToGrid w:val="0"/>
              <w:rPr>
                <w:rFonts w:ascii="仿宋_GB2312" w:eastAsia="仿宋_GB2312"/>
                <w:color w:val="000000"/>
                <w:sz w:val="24"/>
                <w:szCs w:val="24"/>
              </w:rPr>
            </w:pPr>
            <w:r>
              <w:rPr>
                <w:rFonts w:hint="eastAsia" w:ascii="仿宋_GB2312" w:eastAsia="仿宋_GB2312"/>
                <w:color w:val="000000"/>
                <w:sz w:val="24"/>
                <w:szCs w:val="24"/>
                <w:lang w:eastAsia="zh-CN"/>
              </w:rPr>
              <w:t>区</w:t>
            </w:r>
            <w:r>
              <w:rPr>
                <w:rFonts w:hint="eastAsia" w:ascii="仿宋_GB2312" w:eastAsia="仿宋_GB2312"/>
                <w:color w:val="000000"/>
                <w:sz w:val="24"/>
                <w:szCs w:val="24"/>
              </w:rPr>
              <w:t>农业农村部门意见：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jc w:val="center"/>
        </w:trPr>
        <w:tc>
          <w:tcPr>
            <w:tcW w:w="9026"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ascii="仿宋_GB2312" w:eastAsia="仿宋_GB2312"/>
                <w:color w:val="000000"/>
                <w:sz w:val="24"/>
                <w:szCs w:val="24"/>
              </w:rPr>
            </w:pPr>
            <w:r>
              <w:rPr>
                <w:rFonts w:hint="eastAsia" w:ascii="仿宋_GB2312" w:eastAsia="仿宋_GB2312"/>
                <w:color w:val="000000"/>
                <w:sz w:val="24"/>
                <w:szCs w:val="24"/>
                <w:lang w:eastAsia="zh-CN"/>
              </w:rPr>
              <w:t>区人民政府</w:t>
            </w:r>
            <w:r>
              <w:rPr>
                <w:rFonts w:hint="eastAsia" w:ascii="仿宋_GB2312" w:eastAsia="仿宋_GB2312"/>
                <w:color w:val="000000"/>
                <w:sz w:val="24"/>
                <w:szCs w:val="24"/>
              </w:rPr>
              <w:t>意见：</w:t>
            </w:r>
          </w:p>
        </w:tc>
      </w:tr>
    </w:tbl>
    <w:p>
      <w:pPr>
        <w:adjustRightInd w:val="0"/>
        <w:snapToGrid w:val="0"/>
        <w:spacing w:line="340" w:lineRule="exact"/>
        <w:rPr>
          <w:rFonts w:hint="eastAsia" w:ascii="黑体" w:hAnsi="黑体" w:eastAsia="黑体"/>
          <w:color w:val="000000"/>
          <w:sz w:val="24"/>
          <w:szCs w:val="24"/>
        </w:rPr>
      </w:pPr>
      <w:r>
        <w:rPr>
          <w:rFonts w:hint="eastAsia" w:ascii="黑体" w:hAnsi="黑体" w:eastAsia="黑体"/>
          <w:color w:val="000000"/>
          <w:sz w:val="24"/>
          <w:szCs w:val="24"/>
        </w:rPr>
        <w:t>指标解释：</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宋体" w:hAnsi="宋体"/>
        </w:rPr>
        <w:t xml:space="preserve"> </w:t>
      </w:r>
      <w:r>
        <w:rPr>
          <w:rFonts w:hint="eastAsia" w:ascii="仿宋_GB2312" w:eastAsia="仿宋_GB2312"/>
          <w:color w:val="000000"/>
          <w:kern w:val="0"/>
          <w:sz w:val="24"/>
          <w:szCs w:val="24"/>
        </w:rPr>
        <w:t>企业类型包括农产品生产、休闲农业、农产品加工、农产品流通、农产品批发</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市场、农产品电子商务、陈皮、大米、茶叶、鳗鱼、马冈鹅、禽蛋、农技推广、</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高新技术以及其他涉农企业。</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2.销售收入是指当年企业实现的销售收入总额。</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3.交易额是指全年进场交易的各类产品成交额之和(农产品批发市场类填写）。</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4.实际利用外资额度是指外商对企业投资的实际资金数额。</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5.合同关系是指以合同、订单等契约方式向农户收购农产品、提供生产资料等，</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合同双方具有明确的权利、义务关系，合同具有法律效力。</w:t>
      </w:r>
    </w:p>
    <w:p>
      <w:pPr>
        <w:adjustRightInd w:val="0"/>
        <w:snapToGrid w:val="0"/>
        <w:spacing w:line="340" w:lineRule="exact"/>
        <w:ind w:firstLine="240"/>
        <w:rPr>
          <w:rFonts w:hint="eastAsia" w:ascii="仿宋_GB2312" w:eastAsia="仿宋_GB2312"/>
          <w:color w:val="000000"/>
          <w:kern w:val="0"/>
          <w:sz w:val="24"/>
          <w:szCs w:val="24"/>
        </w:rPr>
      </w:pPr>
      <w:r>
        <w:rPr>
          <w:rFonts w:hint="eastAsia" w:ascii="仿宋_GB2312" w:eastAsia="仿宋_GB2312"/>
          <w:color w:val="000000"/>
          <w:kern w:val="0"/>
          <w:sz w:val="24"/>
          <w:szCs w:val="24"/>
        </w:rPr>
        <w:t>合作方式按利润返还是指企业将农副产品加工、运输等增值的一部利润按一定</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的方式（如按交易量）返还给农户,也包括实行二次分配。</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7.股份合作方式按股份分红是指按股金比例进行利润分红。</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8.带动农户增收是指带动的农户比从事其他生产或不参加产业化生产当年多增加</w:t>
      </w:r>
    </w:p>
    <w:p>
      <w:pPr>
        <w:adjustRightInd w:val="0"/>
        <w:snapToGrid w:val="0"/>
        <w:spacing w:line="34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的收入。</w:t>
      </w:r>
    </w:p>
    <w:p>
      <w:pPr>
        <w:adjustRightInd w:val="0"/>
        <w:snapToGrid w:val="0"/>
        <w:spacing w:line="340" w:lineRule="exact"/>
        <w:jc w:val="left"/>
        <w:rPr>
          <w:rFonts w:hint="eastAsia" w:ascii="仿宋_GB2312" w:eastAsia="仿宋_GB2312"/>
          <w:color w:val="000000"/>
          <w:kern w:val="0"/>
          <w:sz w:val="24"/>
          <w:szCs w:val="24"/>
        </w:rPr>
      </w:pPr>
      <w:r>
        <w:rPr>
          <w:rFonts w:hint="eastAsia" w:ascii="楷体" w:hAnsi="楷体" w:eastAsia="楷体"/>
          <w:color w:val="000000"/>
          <w:kern w:val="0"/>
          <w:sz w:val="24"/>
          <w:szCs w:val="24"/>
        </w:rPr>
        <w:t>注：</w:t>
      </w:r>
      <w:r>
        <w:rPr>
          <w:rFonts w:hint="eastAsia" w:ascii="仿宋_GB2312" w:eastAsia="仿宋_GB2312"/>
          <w:color w:val="000000"/>
          <w:kern w:val="0"/>
          <w:sz w:val="24"/>
          <w:szCs w:val="24"/>
        </w:rPr>
        <w:t>表内平衡关系:2&gt;3,5=4/2*100%,6≥7,14≥</w:t>
      </w:r>
    </w:p>
    <w:p>
      <w:pPr>
        <w:adjustRightInd w:val="0"/>
        <w:snapToGrid w:val="0"/>
        <w:spacing w:line="340" w:lineRule="exact"/>
        <w:jc w:val="left"/>
        <w:rPr>
          <w:rFonts w:hint="eastAsia" w:ascii="仿宋_GB2312" w:eastAsia="仿宋_GB2312"/>
          <w:color w:val="000000"/>
          <w:kern w:val="0"/>
          <w:sz w:val="24"/>
          <w:szCs w:val="24"/>
        </w:rPr>
      </w:pPr>
      <w:r>
        <w:rPr>
          <w:rFonts w:hint="eastAsia" w:ascii="仿宋_GB2312" w:eastAsia="仿宋_GB2312"/>
          <w:color w:val="000000"/>
          <w:kern w:val="0"/>
          <w:sz w:val="24"/>
          <w:szCs w:val="24"/>
        </w:rPr>
        <w:t>15+16+17+18+19+20+21+22+23+24+25,26≥27+28+29+30+31+32+33+34+35+36+37,40≥41+42,43≥44+45,66=67+68+69+70,72=71/66×10000,73=74+75。</w:t>
      </w:r>
    </w:p>
    <w:p>
      <w:pPr>
        <w:widowControl/>
        <w:jc w:val="left"/>
        <w:rPr>
          <w:rFonts w:ascii="仿宋_GB2312" w:eastAsia="仿宋_GB2312"/>
          <w:color w:val="000000"/>
          <w:sz w:val="24"/>
          <w:szCs w:val="24"/>
        </w:rPr>
        <w:sectPr>
          <w:pgSz w:w="12240" w:h="15840"/>
          <w:pgMar w:top="1440" w:right="1800" w:bottom="1440" w:left="1800" w:header="720" w:footer="720" w:gutter="0"/>
          <w:cols w:space="720" w:num="1"/>
        </w:sectPr>
      </w:pPr>
    </w:p>
    <w:p>
      <w:pPr>
        <w:adjustRightInd w:val="0"/>
        <w:snapToGrid w:val="0"/>
        <w:spacing w:line="590" w:lineRule="exact"/>
        <w:rPr>
          <w:rFonts w:hint="eastAsia" w:ascii="黑体" w:hAnsi="黑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2</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 xml:space="preserve"> </w:t>
      </w:r>
    </w:p>
    <w:p>
      <w:pPr>
        <w:adjustRightInd w:val="0"/>
        <w:snapToGrid w:val="0"/>
        <w:spacing w:line="59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申报监测材料真实性承诺书</w:t>
      </w:r>
    </w:p>
    <w:p>
      <w:pPr>
        <w:adjustRightInd w:val="0"/>
        <w:snapToGrid w:val="0"/>
        <w:spacing w:line="590" w:lineRule="exact"/>
        <w:jc w:val="center"/>
        <w:rPr>
          <w:rFonts w:hint="eastAsia" w:ascii="楷体_GB2312" w:eastAsia="楷体_GB2312"/>
          <w:kern w:val="0"/>
          <w:sz w:val="32"/>
          <w:szCs w:val="32"/>
        </w:rPr>
      </w:pPr>
      <w:r>
        <w:rPr>
          <w:rFonts w:hint="eastAsia" w:ascii="楷体_GB2312" w:eastAsia="楷体_GB2312"/>
          <w:kern w:val="0"/>
          <w:sz w:val="32"/>
          <w:szCs w:val="32"/>
        </w:rPr>
        <w:t>（格式）</w:t>
      </w:r>
    </w:p>
    <w:p>
      <w:pPr>
        <w:adjustRightInd w:val="0"/>
        <w:snapToGrid w:val="0"/>
        <w:spacing w:line="590" w:lineRule="exact"/>
        <w:rPr>
          <w:rFonts w:hint="eastAsia" w:ascii="仿宋_GB2312" w:eastAsia="仿宋_GB2312"/>
          <w:b/>
          <w:bCs/>
          <w:kern w:val="0"/>
          <w:sz w:val="32"/>
          <w:szCs w:val="32"/>
        </w:rPr>
      </w:pPr>
      <w:r>
        <w:rPr>
          <w:rFonts w:hint="eastAsia" w:ascii="仿宋_GB2312" w:eastAsia="仿宋_GB2312"/>
          <w:b/>
          <w:bCs/>
          <w:kern w:val="0"/>
          <w:sz w:val="32"/>
          <w:szCs w:val="32"/>
        </w:rPr>
        <w:t xml:space="preserve"> </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lang w:eastAsia="zh-CN"/>
        </w:rPr>
        <w:t>区</w:t>
      </w:r>
      <w:r>
        <w:rPr>
          <w:rFonts w:hint="eastAsia" w:ascii="仿宋_GB2312" w:eastAsia="仿宋_GB2312"/>
          <w:kern w:val="0"/>
          <w:sz w:val="32"/>
          <w:szCs w:val="32"/>
        </w:rPr>
        <w:t>农业农村局：</w:t>
      </w:r>
    </w:p>
    <w:p>
      <w:pPr>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我单位郑重承诺：此次申报202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年度市重点农业龙头企业资格认定（运行监测）所提交的所有材料均真实、可靠、合法，如有虚假、伪造行为，我单位愿意承担相应法律责任，并承担由此产生的一切后果。</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特此承诺！</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 xml:space="preserve"> </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 xml:space="preserve"> </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 xml:space="preserve"> </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 xml:space="preserve">                      法定代表人（签字）：</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 xml:space="preserve">                      申报单位（公章）</w:t>
      </w:r>
    </w:p>
    <w:p>
      <w:pPr>
        <w:adjustRightInd w:val="0"/>
        <w:snapToGrid w:val="0"/>
        <w:spacing w:line="590" w:lineRule="exact"/>
        <w:rPr>
          <w:rFonts w:hint="eastAsia" w:ascii="仿宋_GB2312" w:eastAsia="仿宋_GB2312"/>
          <w:kern w:val="0"/>
          <w:sz w:val="32"/>
          <w:szCs w:val="32"/>
        </w:rPr>
      </w:pPr>
      <w:r>
        <w:rPr>
          <w:rFonts w:hint="eastAsia" w:ascii="仿宋_GB2312" w:eastAsia="仿宋_GB2312"/>
          <w:kern w:val="0"/>
          <w:sz w:val="32"/>
          <w:szCs w:val="32"/>
        </w:rPr>
        <w:t xml:space="preserve">                      202</w:t>
      </w:r>
      <w:r>
        <w:rPr>
          <w:rFonts w:hint="eastAsia" w:ascii="仿宋_GB2312" w:eastAsia="仿宋_GB2312"/>
          <w:kern w:val="0"/>
          <w:sz w:val="32"/>
          <w:szCs w:val="32"/>
          <w:lang w:val="en-US" w:eastAsia="zh-CN"/>
        </w:rPr>
        <w:t>5</w:t>
      </w:r>
      <w:bookmarkStart w:id="0" w:name="_GoBack"/>
      <w:bookmarkEnd w:id="0"/>
      <w:r>
        <w:rPr>
          <w:rFonts w:hint="eastAsia" w:ascii="仿宋_GB2312" w:eastAsia="仿宋_GB2312"/>
          <w:kern w:val="0"/>
          <w:sz w:val="32"/>
          <w:szCs w:val="32"/>
        </w:rPr>
        <w:t>年   月   日</w:t>
      </w:r>
    </w:p>
    <w:p>
      <w:pPr>
        <w:widowControl/>
        <w:jc w:val="left"/>
        <w:rPr>
          <w:rFonts w:hint="eastAsia"/>
        </w:rPr>
      </w:pPr>
      <w:r>
        <w:rPr>
          <w:rFonts w:hint="eastAsia" w:ascii="仿宋_GB2312" w:eastAsia="仿宋_GB2312"/>
          <w:kern w:val="0"/>
          <w:sz w:val="32"/>
          <w:szCs w:val="32"/>
        </w:rPr>
        <w:br w:type="page"/>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3960"/>
    <w:rsid w:val="001B3960"/>
    <w:rsid w:val="00A344DC"/>
    <w:rsid w:val="76950878"/>
    <w:rsid w:val="7E1253C0"/>
    <w:rsid w:val="7E52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497</Words>
  <Characters>2836</Characters>
  <Lines>23</Lines>
  <Paragraphs>6</Paragraphs>
  <TotalTime>0</TotalTime>
  <ScaleCrop>false</ScaleCrop>
  <LinksUpToDate>false</LinksUpToDate>
  <CharactersWithSpaces>3327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2023-10-07T02:39:00Z</dcterms:created>
  <dc:creator>微软用户</dc:creator>
  <cp:lastModifiedBy>Administrator</cp:lastModifiedBy>
  <dcterms:modified xsi:type="dcterms:W3CDTF">2025-06-11T08:51:30Z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