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E54" w:rsidRPr="00657E54" w:rsidRDefault="00657E54" w:rsidP="00657E54">
      <w:pPr>
        <w:spacing w:line="56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江门市新会区自镇流</w:t>
      </w:r>
      <w:r>
        <w:rPr>
          <w:rFonts w:eastAsia="方正小标宋简体" w:cs="方正小标宋简体" w:hint="eastAsia"/>
          <w:color w:val="000000"/>
          <w:sz w:val="44"/>
          <w:szCs w:val="44"/>
        </w:rPr>
        <w:t>LED</w:t>
      </w:r>
      <w:r>
        <w:rPr>
          <w:rFonts w:eastAsia="方正小标宋简体" w:cs="方正小标宋简体" w:hint="eastAsia"/>
          <w:color w:val="000000"/>
          <w:sz w:val="44"/>
          <w:szCs w:val="44"/>
        </w:rPr>
        <w:t>灯产品质量监督抽查实施细则</w:t>
      </w:r>
    </w:p>
    <w:p w:rsidR="00657E54" w:rsidRDefault="00657E54" w:rsidP="00657E54">
      <w:pPr>
        <w:spacing w:line="560" w:lineRule="exact"/>
        <w:jc w:val="center"/>
        <w:rPr>
          <w:rFonts w:eastAsia="楷体_GB2312" w:cs="楷体_GB2312"/>
          <w:color w:val="000000"/>
          <w:szCs w:val="40"/>
        </w:rPr>
      </w:pPr>
      <w:r>
        <w:rPr>
          <w:rFonts w:eastAsia="楷体_GB2312" w:cs="楷体_GB2312"/>
          <w:color w:val="000000"/>
          <w:szCs w:val="40"/>
        </w:rPr>
        <w:t>（</w:t>
      </w:r>
      <w:r>
        <w:rPr>
          <w:rFonts w:eastAsia="楷体_GB2312" w:cs="楷体_GB2312"/>
          <w:color w:val="000000"/>
          <w:szCs w:val="40"/>
        </w:rPr>
        <w:t>202</w:t>
      </w:r>
      <w:r>
        <w:rPr>
          <w:rFonts w:eastAsia="楷体_GB2312" w:cs="楷体_GB2312" w:hint="eastAsia"/>
          <w:color w:val="000000"/>
          <w:szCs w:val="40"/>
        </w:rPr>
        <w:t>5</w:t>
      </w:r>
      <w:r>
        <w:rPr>
          <w:rFonts w:eastAsia="楷体_GB2312" w:cs="楷体_GB2312"/>
          <w:color w:val="000000"/>
          <w:szCs w:val="40"/>
        </w:rPr>
        <w:t>年版）</w:t>
      </w:r>
    </w:p>
    <w:p w:rsidR="00657E54" w:rsidRDefault="00657E54" w:rsidP="00657E54">
      <w:pPr>
        <w:spacing w:line="560" w:lineRule="exact"/>
        <w:rPr>
          <w:color w:val="000000"/>
          <w:szCs w:val="32"/>
        </w:rPr>
      </w:pPr>
    </w:p>
    <w:p w:rsidR="00657E54" w:rsidRDefault="00657E54" w:rsidP="00657E54">
      <w:pPr>
        <w:spacing w:line="560" w:lineRule="exact"/>
        <w:ind w:firstLineChars="200" w:firstLine="640"/>
        <w:rPr>
          <w:color w:val="000000"/>
          <w:szCs w:val="32"/>
        </w:rPr>
      </w:pPr>
      <w:r>
        <w:rPr>
          <w:rFonts w:eastAsia="黑体" w:cs="黑体"/>
          <w:color w:val="000000"/>
          <w:szCs w:val="40"/>
        </w:rPr>
        <w:t xml:space="preserve">1 </w:t>
      </w:r>
      <w:r>
        <w:rPr>
          <w:rFonts w:eastAsia="黑体" w:cs="黑体"/>
          <w:color w:val="000000"/>
          <w:szCs w:val="40"/>
        </w:rPr>
        <w:t>抽样方法</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以随机抽样的方式在被抽样生产者、销售者的待销产品中抽取。</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随机数一般可使用随机数表等方法产生。</w:t>
      </w:r>
    </w:p>
    <w:p w:rsidR="00657E54" w:rsidRDefault="00657E54" w:rsidP="00657E54">
      <w:pPr>
        <w:spacing w:line="560" w:lineRule="exact"/>
        <w:ind w:firstLineChars="200" w:firstLine="640"/>
        <w:rPr>
          <w:color w:val="000000"/>
          <w:szCs w:val="32"/>
        </w:rPr>
      </w:pPr>
      <w:r>
        <w:rPr>
          <w:rFonts w:cs="仿宋_GB2312"/>
          <w:color w:val="000000"/>
          <w:szCs w:val="40"/>
        </w:rPr>
        <w:t>每款产品抽取</w:t>
      </w:r>
      <w:r>
        <w:rPr>
          <w:rFonts w:cs="仿宋_GB2312"/>
          <w:color w:val="000000"/>
          <w:szCs w:val="40"/>
        </w:rPr>
        <w:t>2</w:t>
      </w:r>
      <w:r>
        <w:rPr>
          <w:rFonts w:cs="仿宋_GB2312"/>
          <w:color w:val="000000"/>
          <w:szCs w:val="40"/>
        </w:rPr>
        <w:t>组样本，第</w:t>
      </w:r>
      <w:r>
        <w:rPr>
          <w:rFonts w:cs="仿宋_GB2312"/>
          <w:color w:val="000000"/>
          <w:szCs w:val="40"/>
        </w:rPr>
        <w:t>1</w:t>
      </w:r>
      <w:r>
        <w:rPr>
          <w:rFonts w:cs="仿宋_GB2312"/>
          <w:color w:val="000000"/>
          <w:szCs w:val="40"/>
        </w:rPr>
        <w:t>组用于检验，第</w:t>
      </w:r>
      <w:r>
        <w:rPr>
          <w:rFonts w:cs="仿宋_GB2312"/>
          <w:color w:val="000000"/>
          <w:szCs w:val="40"/>
        </w:rPr>
        <w:t>2</w:t>
      </w:r>
      <w:r>
        <w:rPr>
          <w:rFonts w:cs="仿宋_GB2312"/>
          <w:color w:val="000000"/>
          <w:szCs w:val="40"/>
        </w:rPr>
        <w:t>组用于备样。第</w:t>
      </w:r>
      <w:r>
        <w:rPr>
          <w:rFonts w:cs="仿宋_GB2312"/>
          <w:color w:val="000000"/>
          <w:szCs w:val="40"/>
        </w:rPr>
        <w:t>1</w:t>
      </w:r>
      <w:r>
        <w:rPr>
          <w:rFonts w:cs="仿宋_GB2312"/>
          <w:color w:val="000000"/>
          <w:szCs w:val="40"/>
        </w:rPr>
        <w:t>组样品</w:t>
      </w:r>
      <w:r>
        <w:rPr>
          <w:rFonts w:cs="仿宋_GB2312" w:hint="eastAsia"/>
          <w:color w:val="000000"/>
          <w:szCs w:val="40"/>
        </w:rPr>
        <w:t>2</w:t>
      </w:r>
      <w:r>
        <w:rPr>
          <w:rFonts w:cs="仿宋_GB2312"/>
          <w:color w:val="000000"/>
          <w:szCs w:val="40"/>
        </w:rPr>
        <w:t>个，第</w:t>
      </w:r>
      <w:r>
        <w:rPr>
          <w:rFonts w:cs="仿宋_GB2312"/>
          <w:color w:val="000000"/>
          <w:szCs w:val="40"/>
        </w:rPr>
        <w:t>2</w:t>
      </w:r>
      <w:r>
        <w:rPr>
          <w:rFonts w:cs="仿宋_GB2312"/>
          <w:color w:val="000000"/>
          <w:szCs w:val="40"/>
        </w:rPr>
        <w:t>组样品</w:t>
      </w:r>
      <w:r>
        <w:rPr>
          <w:rFonts w:cs="仿宋_GB2312" w:hint="eastAsia"/>
          <w:color w:val="000000"/>
          <w:szCs w:val="40"/>
        </w:rPr>
        <w:t>1</w:t>
      </w:r>
      <w:r>
        <w:rPr>
          <w:rFonts w:cs="仿宋_GB2312"/>
          <w:color w:val="000000"/>
          <w:szCs w:val="40"/>
        </w:rPr>
        <w:t>个。</w:t>
      </w:r>
    </w:p>
    <w:p w:rsidR="00657E54" w:rsidRDefault="00657E54" w:rsidP="00657E54">
      <w:pPr>
        <w:spacing w:line="560" w:lineRule="exact"/>
        <w:ind w:firstLineChars="200" w:firstLine="640"/>
        <w:rPr>
          <w:color w:val="000000"/>
          <w:szCs w:val="32"/>
        </w:rPr>
      </w:pPr>
      <w:r>
        <w:rPr>
          <w:rFonts w:eastAsia="黑体" w:cs="黑体"/>
          <w:color w:val="000000"/>
          <w:szCs w:val="40"/>
        </w:rPr>
        <w:t xml:space="preserve">2 </w:t>
      </w:r>
      <w:r>
        <w:rPr>
          <w:rFonts w:eastAsia="黑体" w:cs="黑体"/>
          <w:color w:val="000000"/>
          <w:szCs w:val="40"/>
        </w:rPr>
        <w:t>检验依据</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5016"/>
        <w:gridCol w:w="3297"/>
      </w:tblGrid>
      <w:tr w:rsidR="00657E54" w:rsidTr="00657E54">
        <w:trPr>
          <w:cantSplit/>
          <w:trHeight w:val="666"/>
          <w:tblHeader/>
          <w:jc w:val="center"/>
        </w:trPr>
        <w:tc>
          <w:tcPr>
            <w:tcW w:w="859" w:type="dxa"/>
            <w:tcBorders>
              <w:top w:val="single" w:sz="4" w:space="0" w:color="auto"/>
              <w:left w:val="single" w:sz="4" w:space="0" w:color="auto"/>
              <w:bottom w:val="single" w:sz="4" w:space="0" w:color="auto"/>
              <w:right w:val="single" w:sz="4" w:space="0" w:color="auto"/>
            </w:tcBorders>
            <w:noWrap/>
            <w:vAlign w:val="center"/>
          </w:tcPr>
          <w:p w:rsidR="00657E54" w:rsidRDefault="00657E54" w:rsidP="003E2D3C">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5016" w:type="dxa"/>
            <w:tcBorders>
              <w:top w:val="single" w:sz="4" w:space="0" w:color="auto"/>
              <w:left w:val="single" w:sz="4" w:space="0" w:color="auto"/>
              <w:bottom w:val="single" w:sz="4" w:space="0" w:color="auto"/>
              <w:right w:val="single" w:sz="4" w:space="0" w:color="auto"/>
            </w:tcBorders>
            <w:noWrap/>
            <w:vAlign w:val="center"/>
          </w:tcPr>
          <w:p w:rsidR="00657E54" w:rsidRDefault="00657E54" w:rsidP="003E2D3C">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3297" w:type="dxa"/>
            <w:tcBorders>
              <w:top w:val="single" w:sz="4" w:space="0" w:color="auto"/>
              <w:left w:val="single" w:sz="4" w:space="0" w:color="auto"/>
              <w:bottom w:val="single" w:sz="4" w:space="0" w:color="auto"/>
              <w:right w:val="single" w:sz="4" w:space="0" w:color="auto"/>
            </w:tcBorders>
            <w:noWrap/>
            <w:vAlign w:val="center"/>
          </w:tcPr>
          <w:p w:rsidR="00657E54" w:rsidRDefault="00657E54" w:rsidP="003E2D3C">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657E54" w:rsidTr="003E2D3C">
        <w:trPr>
          <w:cantSplit/>
          <w:trHeight w:val="567"/>
          <w:jc w:val="center"/>
        </w:trPr>
        <w:tc>
          <w:tcPr>
            <w:tcW w:w="859" w:type="dxa"/>
            <w:tcBorders>
              <w:top w:val="single" w:sz="4" w:space="0" w:color="auto"/>
              <w:left w:val="single" w:sz="4" w:space="0" w:color="auto"/>
              <w:bottom w:val="single" w:sz="4" w:space="0" w:color="auto"/>
              <w:right w:val="single" w:sz="4" w:space="0" w:color="auto"/>
            </w:tcBorders>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1</w:t>
            </w:r>
          </w:p>
        </w:tc>
        <w:tc>
          <w:tcPr>
            <w:tcW w:w="5016" w:type="dxa"/>
            <w:tcBorders>
              <w:top w:val="single" w:sz="4" w:space="0" w:color="auto"/>
              <w:left w:val="single" w:sz="4" w:space="0" w:color="auto"/>
              <w:bottom w:val="single" w:sz="4" w:space="0" w:color="auto"/>
              <w:right w:val="single" w:sz="4" w:space="0" w:color="auto"/>
            </w:tcBorders>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互换性</w:t>
            </w:r>
          </w:p>
        </w:tc>
        <w:tc>
          <w:tcPr>
            <w:tcW w:w="3297" w:type="dxa"/>
            <w:tcBorders>
              <w:top w:val="single" w:sz="4" w:space="0" w:color="auto"/>
              <w:left w:val="single" w:sz="4" w:space="0" w:color="auto"/>
              <w:bottom w:val="single" w:sz="4" w:space="0" w:color="auto"/>
              <w:right w:val="single" w:sz="4" w:space="0" w:color="auto"/>
            </w:tcBorders>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24906-2010</w:t>
            </w:r>
          </w:p>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GB/T 24906-2023</w:t>
            </w:r>
          </w:p>
        </w:tc>
      </w:tr>
      <w:tr w:rsidR="00657E54" w:rsidTr="003E2D3C">
        <w:trPr>
          <w:cantSplit/>
          <w:trHeight w:val="567"/>
          <w:jc w:val="center"/>
        </w:trPr>
        <w:tc>
          <w:tcPr>
            <w:tcW w:w="859"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2</w:t>
            </w:r>
          </w:p>
        </w:tc>
        <w:tc>
          <w:tcPr>
            <w:tcW w:w="5016"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意外接触带电部件的防护</w:t>
            </w:r>
          </w:p>
        </w:tc>
        <w:tc>
          <w:tcPr>
            <w:tcW w:w="3297" w:type="dxa"/>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24906-2010</w:t>
            </w:r>
          </w:p>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GB/T 24906-2023</w:t>
            </w:r>
          </w:p>
        </w:tc>
      </w:tr>
      <w:tr w:rsidR="00657E54" w:rsidTr="003E2D3C">
        <w:trPr>
          <w:cantSplit/>
          <w:trHeight w:val="567"/>
          <w:jc w:val="center"/>
        </w:trPr>
        <w:tc>
          <w:tcPr>
            <w:tcW w:w="859"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3</w:t>
            </w:r>
          </w:p>
        </w:tc>
        <w:tc>
          <w:tcPr>
            <w:tcW w:w="5016" w:type="dxa"/>
            <w:noWrap/>
            <w:vAlign w:val="center"/>
          </w:tcPr>
          <w:p w:rsidR="00657E54" w:rsidRPr="00631C45" w:rsidRDefault="00657E54" w:rsidP="00631C45">
            <w:pPr>
              <w:spacing w:line="560" w:lineRule="exact"/>
              <w:jc w:val="center"/>
              <w:rPr>
                <w:rFonts w:cs="仿宋_GB2312"/>
                <w:color w:val="000000"/>
                <w:sz w:val="28"/>
                <w:szCs w:val="28"/>
              </w:rPr>
            </w:pPr>
            <w:r>
              <w:rPr>
                <w:rFonts w:cs="仿宋_GB2312" w:hint="eastAsia"/>
                <w:color w:val="000000"/>
                <w:sz w:val="28"/>
                <w:szCs w:val="28"/>
              </w:rPr>
              <w:t>潮湿处理后的绝缘电阻和介电强度</w:t>
            </w:r>
            <w:bookmarkStart w:id="0" w:name="_GoBack"/>
            <w:bookmarkEnd w:id="0"/>
          </w:p>
        </w:tc>
        <w:tc>
          <w:tcPr>
            <w:tcW w:w="3297" w:type="dxa"/>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24906-2010</w:t>
            </w:r>
          </w:p>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GB/T 24906-2023</w:t>
            </w:r>
          </w:p>
        </w:tc>
      </w:tr>
      <w:tr w:rsidR="00657E54" w:rsidTr="003E2D3C">
        <w:trPr>
          <w:cantSplit/>
          <w:trHeight w:val="567"/>
          <w:jc w:val="center"/>
        </w:trPr>
        <w:tc>
          <w:tcPr>
            <w:tcW w:w="859"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4</w:t>
            </w:r>
          </w:p>
        </w:tc>
        <w:tc>
          <w:tcPr>
            <w:tcW w:w="5016"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机械强度</w:t>
            </w:r>
          </w:p>
        </w:tc>
        <w:tc>
          <w:tcPr>
            <w:tcW w:w="3297" w:type="dxa"/>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24906-2010</w:t>
            </w:r>
          </w:p>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GB/T 24906-2023</w:t>
            </w:r>
          </w:p>
        </w:tc>
      </w:tr>
      <w:tr w:rsidR="00657E54" w:rsidTr="003E2D3C">
        <w:trPr>
          <w:cantSplit/>
          <w:trHeight w:val="567"/>
          <w:jc w:val="center"/>
        </w:trPr>
        <w:tc>
          <w:tcPr>
            <w:tcW w:w="859"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5</w:t>
            </w:r>
          </w:p>
        </w:tc>
        <w:tc>
          <w:tcPr>
            <w:tcW w:w="5016"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灯头温升</w:t>
            </w:r>
          </w:p>
        </w:tc>
        <w:tc>
          <w:tcPr>
            <w:tcW w:w="3297" w:type="dxa"/>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24906-2010</w:t>
            </w:r>
          </w:p>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GB/T 24906-2023</w:t>
            </w:r>
          </w:p>
        </w:tc>
      </w:tr>
      <w:tr w:rsidR="00657E54" w:rsidTr="003E2D3C">
        <w:trPr>
          <w:cantSplit/>
          <w:trHeight w:val="567"/>
          <w:jc w:val="center"/>
        </w:trPr>
        <w:tc>
          <w:tcPr>
            <w:tcW w:w="859"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6</w:t>
            </w:r>
          </w:p>
        </w:tc>
        <w:tc>
          <w:tcPr>
            <w:tcW w:w="5016"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耐热性</w:t>
            </w:r>
          </w:p>
        </w:tc>
        <w:tc>
          <w:tcPr>
            <w:tcW w:w="3297" w:type="dxa"/>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24906-2010</w:t>
            </w:r>
          </w:p>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GB/T 24906-2023</w:t>
            </w:r>
          </w:p>
        </w:tc>
      </w:tr>
      <w:tr w:rsidR="00657E54" w:rsidTr="003E2D3C">
        <w:trPr>
          <w:cantSplit/>
          <w:trHeight w:val="567"/>
          <w:jc w:val="center"/>
        </w:trPr>
        <w:tc>
          <w:tcPr>
            <w:tcW w:w="859"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lastRenderedPageBreak/>
              <w:t>7</w:t>
            </w:r>
          </w:p>
        </w:tc>
        <w:tc>
          <w:tcPr>
            <w:tcW w:w="5016"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防火与防燃</w:t>
            </w:r>
          </w:p>
        </w:tc>
        <w:tc>
          <w:tcPr>
            <w:tcW w:w="3297" w:type="dxa"/>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24906-2010</w:t>
            </w:r>
          </w:p>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GB/T 24906-2023</w:t>
            </w:r>
          </w:p>
        </w:tc>
      </w:tr>
      <w:tr w:rsidR="00657E54" w:rsidTr="003E2D3C">
        <w:trPr>
          <w:cantSplit/>
          <w:trHeight w:val="567"/>
          <w:jc w:val="center"/>
        </w:trPr>
        <w:tc>
          <w:tcPr>
            <w:tcW w:w="859"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8</w:t>
            </w:r>
          </w:p>
        </w:tc>
        <w:tc>
          <w:tcPr>
            <w:tcW w:w="5016" w:type="dxa"/>
            <w:noWrap/>
            <w:vAlign w:val="center"/>
          </w:tcPr>
          <w:p w:rsidR="00657E54" w:rsidRDefault="00657E54" w:rsidP="003E2D3C">
            <w:pPr>
              <w:spacing w:line="560" w:lineRule="exact"/>
              <w:jc w:val="center"/>
              <w:rPr>
                <w:rFonts w:cs="仿宋_GB2312"/>
                <w:color w:val="000000"/>
                <w:sz w:val="28"/>
                <w:szCs w:val="28"/>
              </w:rPr>
            </w:pPr>
            <w:r>
              <w:rPr>
                <w:rFonts w:cs="仿宋_GB2312" w:hint="eastAsia"/>
                <w:color w:val="000000"/>
                <w:sz w:val="28"/>
                <w:szCs w:val="28"/>
              </w:rPr>
              <w:t>谐波电流</w:t>
            </w:r>
          </w:p>
        </w:tc>
        <w:tc>
          <w:tcPr>
            <w:tcW w:w="3297" w:type="dxa"/>
            <w:noWrap/>
            <w:vAlign w:val="center"/>
          </w:tcPr>
          <w:p w:rsidR="00657E54" w:rsidRDefault="00657E54" w:rsidP="003E2D3C">
            <w:pPr>
              <w:spacing w:line="560" w:lineRule="exact"/>
              <w:jc w:val="center"/>
              <w:rPr>
                <w:rFonts w:cs="仿宋_GB2312"/>
                <w:color w:val="000000"/>
                <w:sz w:val="28"/>
                <w:szCs w:val="28"/>
              </w:rPr>
            </w:pPr>
            <w:r>
              <w:rPr>
                <w:rFonts w:cs="仿宋_GB2312"/>
                <w:color w:val="000000"/>
                <w:sz w:val="28"/>
                <w:szCs w:val="28"/>
              </w:rPr>
              <w:t>GB 17625.1-2022</w:t>
            </w:r>
          </w:p>
        </w:tc>
      </w:tr>
    </w:tbl>
    <w:p w:rsidR="00657E54" w:rsidRDefault="00657E54" w:rsidP="00657E54">
      <w:pPr>
        <w:spacing w:line="560" w:lineRule="exact"/>
        <w:ind w:firstLineChars="200" w:firstLine="640"/>
        <w:rPr>
          <w:rFonts w:cs="仿宋_GB2312"/>
          <w:color w:val="000000"/>
          <w:szCs w:val="40"/>
        </w:rPr>
      </w:pPr>
      <w:r>
        <w:rPr>
          <w:rFonts w:cs="仿宋_GB2312"/>
          <w:color w:val="000000"/>
          <w:szCs w:val="40"/>
        </w:rPr>
        <w:t>执行企业标准、团体标准、地方标准的产品，检验项目参照上述内容执行。</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凡是注日期的文件，其随后所有的修改单（不包括勘误的内容）或修订版不适用于本细则。凡是不注日期的文件，其最新版本适用于本细则。</w:t>
      </w:r>
    </w:p>
    <w:p w:rsidR="00657E54" w:rsidRDefault="00657E54" w:rsidP="00657E54">
      <w:pPr>
        <w:spacing w:line="560" w:lineRule="exact"/>
        <w:ind w:firstLineChars="200" w:firstLine="640"/>
        <w:rPr>
          <w:rFonts w:eastAsia="黑体" w:cs="黑体"/>
          <w:color w:val="000000"/>
          <w:szCs w:val="40"/>
        </w:rPr>
      </w:pPr>
      <w:r>
        <w:rPr>
          <w:rFonts w:eastAsia="黑体" w:cs="黑体"/>
          <w:color w:val="000000"/>
          <w:szCs w:val="40"/>
        </w:rPr>
        <w:t xml:space="preserve">3 </w:t>
      </w:r>
      <w:r>
        <w:rPr>
          <w:rFonts w:eastAsia="黑体" w:cs="黑体"/>
          <w:color w:val="000000"/>
          <w:szCs w:val="40"/>
        </w:rPr>
        <w:t>判定规则</w:t>
      </w:r>
    </w:p>
    <w:p w:rsidR="00657E54" w:rsidRDefault="00657E54" w:rsidP="00657E54">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GB 24906—2010</w:t>
      </w:r>
      <w:r>
        <w:rPr>
          <w:rFonts w:cs="仿宋_GB2312" w:hint="eastAsia"/>
          <w:color w:val="000000"/>
          <w:szCs w:val="40"/>
        </w:rPr>
        <w:t xml:space="preserve"> </w:t>
      </w:r>
      <w:r>
        <w:rPr>
          <w:rFonts w:cs="仿宋_GB2312"/>
          <w:color w:val="000000"/>
          <w:szCs w:val="40"/>
        </w:rPr>
        <w:t>普通照明用</w:t>
      </w:r>
      <w:r>
        <w:rPr>
          <w:rFonts w:cs="仿宋_GB2312"/>
          <w:color w:val="000000"/>
          <w:szCs w:val="40"/>
        </w:rPr>
        <w:t>50V</w:t>
      </w:r>
      <w:r>
        <w:rPr>
          <w:rFonts w:cs="仿宋_GB2312"/>
          <w:color w:val="000000"/>
          <w:szCs w:val="40"/>
        </w:rPr>
        <w:t>以上自镇流</w:t>
      </w:r>
      <w:r>
        <w:rPr>
          <w:rFonts w:cs="仿宋_GB2312"/>
          <w:color w:val="000000"/>
          <w:szCs w:val="40"/>
        </w:rPr>
        <w:t>LED</w:t>
      </w:r>
      <w:r>
        <w:rPr>
          <w:rFonts w:cs="仿宋_GB2312"/>
          <w:color w:val="000000"/>
          <w:szCs w:val="40"/>
        </w:rPr>
        <w:t>灯</w:t>
      </w:r>
      <w:r>
        <w:rPr>
          <w:rFonts w:cs="仿宋_GB2312" w:hint="eastAsia"/>
          <w:color w:val="000000"/>
          <w:szCs w:val="40"/>
        </w:rPr>
        <w:t xml:space="preserve"> </w:t>
      </w:r>
      <w:r>
        <w:rPr>
          <w:rFonts w:cs="仿宋_GB2312"/>
          <w:color w:val="000000"/>
          <w:szCs w:val="40"/>
        </w:rPr>
        <w:t>安全要求</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GB</w:t>
      </w:r>
      <w:r>
        <w:rPr>
          <w:rFonts w:cs="仿宋_GB2312" w:hint="eastAsia"/>
          <w:color w:val="000000"/>
          <w:szCs w:val="40"/>
        </w:rPr>
        <w:t xml:space="preserve">/T </w:t>
      </w:r>
      <w:r>
        <w:rPr>
          <w:rFonts w:cs="仿宋_GB2312"/>
          <w:color w:val="000000"/>
          <w:szCs w:val="40"/>
        </w:rPr>
        <w:t>24906—20</w:t>
      </w:r>
      <w:r>
        <w:rPr>
          <w:rFonts w:cs="仿宋_GB2312" w:hint="eastAsia"/>
          <w:color w:val="000000"/>
          <w:szCs w:val="40"/>
        </w:rPr>
        <w:t xml:space="preserve">23 </w:t>
      </w:r>
      <w:r>
        <w:rPr>
          <w:rFonts w:cs="仿宋_GB2312"/>
          <w:color w:val="000000"/>
          <w:szCs w:val="40"/>
        </w:rPr>
        <w:t>普通照明用</w:t>
      </w:r>
      <w:r>
        <w:rPr>
          <w:rFonts w:cs="仿宋_GB2312"/>
          <w:color w:val="000000"/>
          <w:szCs w:val="40"/>
        </w:rPr>
        <w:t>50V</w:t>
      </w:r>
      <w:r>
        <w:rPr>
          <w:rFonts w:cs="仿宋_GB2312"/>
          <w:color w:val="000000"/>
          <w:szCs w:val="40"/>
        </w:rPr>
        <w:t>以上自镇流</w:t>
      </w:r>
      <w:r>
        <w:rPr>
          <w:rFonts w:cs="仿宋_GB2312"/>
          <w:color w:val="000000"/>
          <w:szCs w:val="40"/>
        </w:rPr>
        <w:t>LED</w:t>
      </w:r>
      <w:r>
        <w:rPr>
          <w:rFonts w:cs="仿宋_GB2312"/>
          <w:color w:val="000000"/>
          <w:szCs w:val="40"/>
        </w:rPr>
        <w:t>灯</w:t>
      </w:r>
      <w:r>
        <w:rPr>
          <w:rFonts w:cs="仿宋_GB2312"/>
          <w:color w:val="000000"/>
          <w:szCs w:val="40"/>
        </w:rPr>
        <w:t xml:space="preserve"> </w:t>
      </w:r>
      <w:r>
        <w:rPr>
          <w:rFonts w:cs="仿宋_GB2312"/>
          <w:color w:val="000000"/>
          <w:szCs w:val="40"/>
        </w:rPr>
        <w:t>安全规范</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GB 17625.1—2022</w:t>
      </w:r>
      <w:r>
        <w:rPr>
          <w:rFonts w:cs="仿宋_GB2312" w:hint="eastAsia"/>
          <w:color w:val="000000"/>
          <w:szCs w:val="40"/>
        </w:rPr>
        <w:t xml:space="preserve"> </w:t>
      </w:r>
      <w:r>
        <w:rPr>
          <w:rFonts w:cs="仿宋_GB2312"/>
          <w:color w:val="000000"/>
          <w:szCs w:val="40"/>
        </w:rPr>
        <w:t>电磁兼容</w:t>
      </w:r>
      <w:r>
        <w:rPr>
          <w:rFonts w:cs="仿宋_GB2312" w:hint="eastAsia"/>
          <w:color w:val="000000"/>
          <w:szCs w:val="40"/>
        </w:rPr>
        <w:t xml:space="preserve"> </w:t>
      </w:r>
      <w:r>
        <w:rPr>
          <w:rFonts w:cs="仿宋_GB2312"/>
          <w:color w:val="000000"/>
          <w:szCs w:val="40"/>
        </w:rPr>
        <w:t>限值</w:t>
      </w:r>
      <w:r>
        <w:rPr>
          <w:rFonts w:cs="仿宋_GB2312" w:hint="eastAsia"/>
          <w:color w:val="000000"/>
          <w:szCs w:val="40"/>
        </w:rPr>
        <w:t xml:space="preserve"> </w:t>
      </w:r>
      <w:r>
        <w:rPr>
          <w:rFonts w:cs="仿宋_GB2312"/>
          <w:color w:val="000000"/>
          <w:szCs w:val="40"/>
        </w:rPr>
        <w:t>第</w:t>
      </w:r>
      <w:r>
        <w:rPr>
          <w:rFonts w:cs="仿宋_GB2312"/>
          <w:color w:val="000000"/>
          <w:szCs w:val="40"/>
        </w:rPr>
        <w:t>1</w:t>
      </w:r>
      <w:r>
        <w:rPr>
          <w:rFonts w:cs="仿宋_GB2312"/>
          <w:color w:val="000000"/>
          <w:szCs w:val="40"/>
        </w:rPr>
        <w:t>部分：谐波电流发射限值</w:t>
      </w:r>
      <w:r>
        <w:rPr>
          <w:rFonts w:cs="仿宋_GB2312"/>
          <w:color w:val="000000"/>
          <w:szCs w:val="40"/>
        </w:rPr>
        <w:t>(</w:t>
      </w:r>
      <w:proofErr w:type="gramStart"/>
      <w:r>
        <w:rPr>
          <w:rFonts w:cs="仿宋_GB2312"/>
          <w:color w:val="000000"/>
          <w:szCs w:val="40"/>
        </w:rPr>
        <w:t>设备每相输入</w:t>
      </w:r>
      <w:proofErr w:type="gramEnd"/>
      <w:r>
        <w:rPr>
          <w:rFonts w:cs="仿宋_GB2312"/>
          <w:color w:val="000000"/>
          <w:szCs w:val="40"/>
        </w:rPr>
        <w:t>电流</w:t>
      </w:r>
      <w:r>
        <w:rPr>
          <w:rFonts w:cs="仿宋_GB2312"/>
          <w:color w:val="000000"/>
          <w:szCs w:val="40"/>
        </w:rPr>
        <w:t>≤16A)</w:t>
      </w:r>
    </w:p>
    <w:p w:rsidR="00657E54" w:rsidRDefault="00657E54" w:rsidP="00657E54">
      <w:pPr>
        <w:spacing w:line="560" w:lineRule="exact"/>
        <w:ind w:firstLineChars="200" w:firstLine="640"/>
        <w:rPr>
          <w:color w:val="000000"/>
          <w:szCs w:val="32"/>
        </w:rPr>
      </w:pPr>
      <w:r>
        <w:rPr>
          <w:rFonts w:cs="仿宋_GB2312"/>
          <w:color w:val="000000"/>
          <w:szCs w:val="40"/>
        </w:rPr>
        <w:t>现行有效的企业标准、团体标准、地方标准及产品明示质量要求</w:t>
      </w:r>
    </w:p>
    <w:p w:rsidR="00657E54" w:rsidRDefault="00657E54" w:rsidP="00657E54">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经检验，检验项目全部合格，判定为被抽查产品所检项目未发现不合格；检验项目中任一项或一项以上不合格，判定为被抽查产品不合格。</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若被检产品明示的质量要求高于本细则中检验项目依</w:t>
      </w:r>
      <w:r>
        <w:rPr>
          <w:rFonts w:cs="仿宋_GB2312"/>
          <w:color w:val="000000"/>
          <w:szCs w:val="40"/>
        </w:rPr>
        <w:lastRenderedPageBreak/>
        <w:t>据的标准要求时，应按被检产品明示的质量要求判定。</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若被检产品明示的质量要求低于本细则中检验项目依据的强制性标准要求时，应按照强制性标准要求判定。</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若被检产品明示的质量要求低于或包含本细则中检验项目依据的推荐性标准要求时，应以被检产品明示的质量要求判定。</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若被检产品明示的质量要求缺少本细则中检验项目依据的强制性标准要求时，应按照强制性标准要求判定。</w:t>
      </w:r>
    </w:p>
    <w:p w:rsidR="00657E54" w:rsidRDefault="00657E54" w:rsidP="00657E54">
      <w:pPr>
        <w:spacing w:line="560" w:lineRule="exact"/>
        <w:ind w:firstLineChars="200" w:firstLine="640"/>
        <w:rPr>
          <w:rFonts w:cs="仿宋_GB2312"/>
          <w:color w:val="000000"/>
          <w:szCs w:val="40"/>
        </w:rPr>
      </w:pPr>
      <w:r>
        <w:rPr>
          <w:rFonts w:cs="仿宋_GB2312"/>
          <w:color w:val="000000"/>
          <w:szCs w:val="40"/>
        </w:rPr>
        <w:t>若被检产品明示的质量要求缺少本细则中检验项目依据的推荐性标准要求时，该项目不参与判定。</w:t>
      </w:r>
    </w:p>
    <w:p w:rsidR="00657E54" w:rsidRDefault="00657E54" w:rsidP="00657E54">
      <w:pPr>
        <w:spacing w:line="560" w:lineRule="exact"/>
        <w:rPr>
          <w:rFonts w:eastAsia="黑体"/>
          <w:bCs/>
          <w:color w:val="000000"/>
          <w:spacing w:val="-6"/>
          <w:szCs w:val="32"/>
        </w:rPr>
      </w:pPr>
    </w:p>
    <w:p w:rsidR="004D274D" w:rsidRPr="00657E54" w:rsidRDefault="004D274D"/>
    <w:sectPr w:rsidR="004D274D" w:rsidRPr="00657E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E54" w:rsidRDefault="00657E54" w:rsidP="00657E54">
      <w:r>
        <w:separator/>
      </w:r>
    </w:p>
  </w:endnote>
  <w:endnote w:type="continuationSeparator" w:id="0">
    <w:p w:rsidR="00657E54" w:rsidRDefault="00657E54" w:rsidP="0065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E54" w:rsidRDefault="00657E54" w:rsidP="00657E54">
      <w:r>
        <w:separator/>
      </w:r>
    </w:p>
  </w:footnote>
  <w:footnote w:type="continuationSeparator" w:id="0">
    <w:p w:rsidR="00657E54" w:rsidRDefault="00657E54" w:rsidP="00657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F8"/>
    <w:rsid w:val="004D274D"/>
    <w:rsid w:val="00631C45"/>
    <w:rsid w:val="00657E54"/>
    <w:rsid w:val="00FD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2025-08-06T00:51:00Z</dcterms:created>
  <dcterms:modified xsi:type="dcterms:W3CDTF">2025-08-06T00:53:00Z</dcterms:modified>
</cp:coreProperties>
</file>