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36F96">
      <w:pPr>
        <w:keepNext w:val="0"/>
        <w:keepLines w:val="0"/>
        <w:pageBreakBefore w:val="0"/>
        <w:kinsoku/>
        <w:wordWrap/>
        <w:overflowPunct/>
        <w:topLinePunct w:val="0"/>
        <w:autoSpaceDN/>
        <w:bidi w:val="0"/>
        <w:adjustRightInd/>
        <w:spacing w:line="560" w:lineRule="exact"/>
        <w:jc w:val="both"/>
        <w:textAlignment w:val="auto"/>
        <w:rPr>
          <w:rFonts w:hint="eastAsia" w:ascii="黑体" w:hAnsi="黑体" w:eastAsia="黑体"/>
          <w:color w:val="auto"/>
          <w:sz w:val="32"/>
          <w:szCs w:val="32"/>
          <w:u w:val="single"/>
        </w:rPr>
      </w:pPr>
      <w:bookmarkStart w:id="0" w:name="_GoBack"/>
      <w:bookmarkEnd w:id="0"/>
    </w:p>
    <w:p w14:paraId="331981AD">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江门市新会区教育局2025年专项审计服务</w:t>
      </w:r>
    </w:p>
    <w:p w14:paraId="6B3ACFA8">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项目采购需求书</w:t>
      </w:r>
    </w:p>
    <w:p w14:paraId="071B8D9E">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b w:val="0"/>
          <w:bCs w:val="0"/>
          <w:color w:val="auto"/>
          <w:spacing w:val="-4"/>
          <w:kern w:val="0"/>
          <w:sz w:val="32"/>
          <w:szCs w:val="32"/>
        </w:rPr>
      </w:pPr>
    </w:p>
    <w:p w14:paraId="35424866">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77DFA4EA">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4514A41B">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75B6C170">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2367E2F5">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6807C5E8">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72ED8962">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760D4DC0">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7208FA3C">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69585AFB">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4F2069C6">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4A677B06">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4840D2D9">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4D4E6E41">
      <w:pPr>
        <w:keepNext w:val="0"/>
        <w:keepLines w:val="0"/>
        <w:pageBreakBefore w:val="0"/>
        <w:kinsoku/>
        <w:wordWrap/>
        <w:overflowPunct/>
        <w:topLinePunct w:val="0"/>
        <w:autoSpaceDN/>
        <w:bidi w:val="0"/>
        <w:adjustRightInd/>
        <w:snapToGrid w:val="0"/>
        <w:spacing w:line="560" w:lineRule="exact"/>
        <w:textAlignment w:val="auto"/>
        <w:rPr>
          <w:rFonts w:hint="eastAsia" w:ascii="仿宋" w:hAnsi="仿宋" w:eastAsia="仿宋" w:cs="仿宋"/>
          <w:color w:val="auto"/>
          <w:spacing w:val="-4"/>
          <w:kern w:val="0"/>
          <w:sz w:val="32"/>
          <w:szCs w:val="32"/>
        </w:rPr>
      </w:pPr>
    </w:p>
    <w:p w14:paraId="091D7D01">
      <w:pPr>
        <w:keepNext w:val="0"/>
        <w:keepLines w:val="0"/>
        <w:pageBreakBefore w:val="0"/>
        <w:kinsoku/>
        <w:wordWrap/>
        <w:overflowPunct/>
        <w:topLinePunct w:val="0"/>
        <w:autoSpaceDN/>
        <w:bidi w:val="0"/>
        <w:adjustRightInd/>
        <w:snapToGrid w:val="0"/>
        <w:spacing w:line="560" w:lineRule="exact"/>
        <w:ind w:firstLine="1404" w:firstLineChars="450"/>
        <w:textAlignment w:val="auto"/>
        <w:rPr>
          <w:rFonts w:hint="eastAsia" w:ascii="仿宋" w:hAnsi="仿宋" w:eastAsia="仿宋" w:cs="仿宋"/>
          <w:color w:val="auto"/>
          <w:spacing w:val="-4"/>
          <w:kern w:val="0"/>
          <w:sz w:val="32"/>
          <w:szCs w:val="32"/>
        </w:rPr>
      </w:pPr>
    </w:p>
    <w:p w14:paraId="605567C4">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仿宋" w:hAnsi="仿宋" w:eastAsia="仿宋" w:cs="仿宋"/>
          <w:color w:val="auto"/>
          <w:spacing w:val="-4"/>
          <w:kern w:val="0"/>
          <w:sz w:val="32"/>
          <w:szCs w:val="32"/>
          <w:u w:val="single"/>
        </w:rPr>
      </w:pPr>
      <w:r>
        <w:rPr>
          <w:rFonts w:hint="eastAsia" w:ascii="仿宋" w:hAnsi="仿宋" w:eastAsia="仿宋" w:cs="仿宋"/>
          <w:color w:val="auto"/>
          <w:spacing w:val="-4"/>
          <w:kern w:val="0"/>
          <w:sz w:val="32"/>
          <w:szCs w:val="32"/>
        </w:rPr>
        <w:t>采购单位：</w:t>
      </w:r>
      <w:r>
        <w:rPr>
          <w:rFonts w:hint="eastAsia" w:ascii="仿宋" w:hAnsi="仿宋" w:eastAsia="仿宋" w:cs="仿宋"/>
          <w:color w:val="auto"/>
          <w:spacing w:val="-4"/>
          <w:kern w:val="0"/>
          <w:sz w:val="32"/>
          <w:szCs w:val="32"/>
          <w:u w:val="single"/>
        </w:rPr>
        <w:t xml:space="preserve"> 江门市新会区教育局</w:t>
      </w:r>
    </w:p>
    <w:p w14:paraId="60695CD7">
      <w:pPr>
        <w:keepNext w:val="0"/>
        <w:keepLines w:val="0"/>
        <w:pageBreakBefore w:val="0"/>
        <w:kinsoku/>
        <w:wordWrap/>
        <w:overflowPunct/>
        <w:topLinePunct w:val="0"/>
        <w:autoSpaceDN/>
        <w:bidi w:val="0"/>
        <w:adjustRightInd/>
        <w:spacing w:line="560" w:lineRule="exact"/>
        <w:textAlignment w:val="auto"/>
        <w:rPr>
          <w:rFonts w:hint="eastAsia" w:ascii="仿宋" w:hAnsi="仿宋" w:eastAsia="仿宋" w:cs="仿宋"/>
          <w:color w:val="auto"/>
          <w:spacing w:val="-4"/>
          <w:kern w:val="0"/>
          <w:sz w:val="32"/>
          <w:szCs w:val="32"/>
          <w:u w:val="single"/>
        </w:rPr>
      </w:pPr>
      <w:r>
        <w:rPr>
          <w:rFonts w:hint="eastAsia" w:ascii="仿宋" w:hAnsi="仿宋" w:eastAsia="仿宋" w:cs="仿宋"/>
          <w:color w:val="auto"/>
          <w:spacing w:val="-4"/>
          <w:kern w:val="0"/>
          <w:sz w:val="32"/>
          <w:szCs w:val="32"/>
          <w:u w:val="single"/>
        </w:rPr>
        <w:br w:type="page"/>
      </w:r>
    </w:p>
    <w:p w14:paraId="2DEC45ED">
      <w:pPr>
        <w:keepNext w:val="0"/>
        <w:keepLines w:val="0"/>
        <w:pageBreakBefore w:val="0"/>
        <w:kinsoku/>
        <w:wordWrap/>
        <w:overflowPunct/>
        <w:topLinePunct w:val="0"/>
        <w:autoSpaceDN/>
        <w:bidi w:val="0"/>
        <w:adjustRightInd/>
        <w:snapToGrid w:val="0"/>
        <w:spacing w:line="560" w:lineRule="exact"/>
        <w:ind w:firstLine="627" w:firstLineChars="200"/>
        <w:textAlignment w:val="auto"/>
        <w:rPr>
          <w:rFonts w:hint="eastAsia" w:ascii="仿宋" w:hAnsi="仿宋" w:eastAsia="仿宋" w:cs="仿宋"/>
          <w:b w:val="0"/>
          <w:bCs/>
          <w:color w:val="auto"/>
          <w:spacing w:val="-4"/>
          <w:kern w:val="0"/>
          <w:sz w:val="32"/>
          <w:szCs w:val="32"/>
        </w:rPr>
      </w:pPr>
      <w:r>
        <w:rPr>
          <w:rFonts w:hint="eastAsia" w:ascii="黑体" w:hAnsi="黑体" w:eastAsia="黑体" w:cs="黑体"/>
          <w:b/>
          <w:color w:val="auto"/>
          <w:spacing w:val="-4"/>
          <w:kern w:val="0"/>
          <w:sz w:val="32"/>
          <w:szCs w:val="32"/>
        </w:rPr>
        <w:t>一、</w:t>
      </w:r>
      <w:r>
        <w:rPr>
          <w:rFonts w:hint="eastAsia" w:ascii="黑体" w:hAnsi="黑体" w:eastAsia="黑体" w:cs="黑体"/>
          <w:b w:val="0"/>
          <w:bCs/>
          <w:color w:val="auto"/>
          <w:spacing w:val="-4"/>
          <w:kern w:val="0"/>
          <w:sz w:val="32"/>
          <w:szCs w:val="32"/>
        </w:rPr>
        <w:t>供应商（资质）要求</w:t>
      </w:r>
    </w:p>
    <w:p w14:paraId="34128ADD">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eastAsia="zh-CN"/>
        </w:rPr>
        <w:t>（一）符合《中华人民共和国政府采购法》第二十二条规定：</w:t>
      </w:r>
    </w:p>
    <w:p w14:paraId="192D38FE">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val="en-US"/>
        </w:rPr>
        <w:t>1.</w:t>
      </w:r>
      <w:r>
        <w:rPr>
          <w:rFonts w:hint="eastAsia" w:ascii="仿宋" w:hAnsi="仿宋" w:eastAsia="仿宋" w:cs="仿宋"/>
          <w:color w:val="auto"/>
          <w:sz w:val="32"/>
          <w:szCs w:val="32"/>
          <w:shd w:val="clear" w:fill="FFFFFF"/>
          <w:lang w:eastAsia="zh-CN"/>
        </w:rPr>
        <w:t>具有独立承担民事责任的能力；</w:t>
      </w:r>
    </w:p>
    <w:p w14:paraId="2C5EE07C">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val="en-US"/>
        </w:rPr>
        <w:t>2.</w:t>
      </w:r>
      <w:r>
        <w:rPr>
          <w:rFonts w:hint="eastAsia" w:ascii="仿宋" w:hAnsi="仿宋" w:eastAsia="仿宋" w:cs="仿宋"/>
          <w:color w:val="auto"/>
          <w:sz w:val="32"/>
          <w:szCs w:val="32"/>
          <w:shd w:val="clear" w:fill="FFFFFF"/>
          <w:lang w:eastAsia="zh-CN"/>
        </w:rPr>
        <w:t>具有良好的商业信誉和健全的财务会计制度；</w:t>
      </w:r>
    </w:p>
    <w:p w14:paraId="7CA8587C">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val="en-US"/>
        </w:rPr>
        <w:t>3.</w:t>
      </w:r>
      <w:r>
        <w:rPr>
          <w:rFonts w:hint="eastAsia" w:ascii="仿宋" w:hAnsi="仿宋" w:eastAsia="仿宋" w:cs="仿宋"/>
          <w:color w:val="auto"/>
          <w:sz w:val="32"/>
          <w:szCs w:val="32"/>
          <w:shd w:val="clear" w:fill="FFFFFF"/>
          <w:lang w:eastAsia="zh-CN"/>
        </w:rPr>
        <w:t>具有履行合同所必需的设备和专业技术能力；</w:t>
      </w:r>
    </w:p>
    <w:p w14:paraId="3D50AB44">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val="en-US"/>
        </w:rPr>
        <w:t>4.</w:t>
      </w:r>
      <w:r>
        <w:rPr>
          <w:rFonts w:hint="eastAsia" w:ascii="仿宋" w:hAnsi="仿宋" w:eastAsia="仿宋" w:cs="仿宋"/>
          <w:color w:val="auto"/>
          <w:sz w:val="32"/>
          <w:szCs w:val="32"/>
          <w:shd w:val="clear" w:fill="FFFFFF"/>
          <w:lang w:eastAsia="zh-CN"/>
        </w:rPr>
        <w:t>法律、行政法规规定的其他条件。</w:t>
      </w:r>
    </w:p>
    <w:p w14:paraId="465B6C89">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eastAsia="zh-CN"/>
        </w:rPr>
        <w:t>（二）</w:t>
      </w:r>
      <w:r>
        <w:rPr>
          <w:rFonts w:hint="eastAsia" w:ascii="仿宋" w:hAnsi="仿宋" w:eastAsia="仿宋" w:cs="仿宋"/>
          <w:bCs/>
          <w:color w:val="auto"/>
          <w:spacing w:val="-4"/>
          <w:sz w:val="32"/>
          <w:szCs w:val="32"/>
          <w:shd w:val="clear" w:fill="FFFFFF"/>
          <w:lang w:eastAsia="zh-CN"/>
        </w:rPr>
        <w:t>供应商</w:t>
      </w:r>
      <w:r>
        <w:rPr>
          <w:rFonts w:hint="eastAsia" w:ascii="仿宋" w:hAnsi="仿宋" w:eastAsia="仿宋" w:cs="仿宋"/>
          <w:color w:val="auto"/>
          <w:spacing w:val="-4"/>
          <w:sz w:val="32"/>
          <w:szCs w:val="32"/>
          <w:shd w:val="clear" w:fill="FFFFFF"/>
          <w:lang w:eastAsia="zh-CN"/>
        </w:rPr>
        <w:t>应在中华人民共和国境内注册，具有独立法人资格，持有有效的营业执照和国家财政部门颁发的会计师事务所执业证书。</w:t>
      </w:r>
    </w:p>
    <w:p w14:paraId="5037EC4F">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eastAsia="zh-CN"/>
        </w:rPr>
        <w:t>（四）未被列入“信用中国”网站</w:t>
      </w:r>
      <w:r>
        <w:rPr>
          <w:rFonts w:hint="eastAsia" w:ascii="仿宋" w:hAnsi="仿宋" w:eastAsia="仿宋" w:cs="仿宋"/>
          <w:color w:val="auto"/>
          <w:sz w:val="32"/>
          <w:szCs w:val="32"/>
          <w:shd w:val="clear" w:fill="FFFFFF"/>
          <w:lang w:val="en-US"/>
        </w:rPr>
        <w:t>(www.creditchina.gov.cn)</w:t>
      </w:r>
      <w:r>
        <w:rPr>
          <w:rFonts w:hint="eastAsia" w:ascii="仿宋" w:hAnsi="仿宋" w:eastAsia="仿宋" w:cs="仿宋"/>
          <w:color w:val="auto"/>
          <w:sz w:val="32"/>
          <w:szCs w:val="32"/>
          <w:shd w:val="clear" w:fill="FFFFFF"/>
          <w:lang w:eastAsia="zh-CN"/>
        </w:rPr>
        <w:t>“严重失信主体名单”记录名单；不处于中国政府采购网</w:t>
      </w:r>
      <w:r>
        <w:rPr>
          <w:rFonts w:hint="eastAsia" w:ascii="仿宋" w:hAnsi="仿宋" w:eastAsia="仿宋" w:cs="仿宋"/>
          <w:color w:val="auto"/>
          <w:sz w:val="32"/>
          <w:szCs w:val="32"/>
          <w:shd w:val="clear" w:fill="FFFFFF"/>
          <w:lang w:val="en-US"/>
        </w:rPr>
        <w:t>(www.ccgp.gov.cn)</w:t>
      </w:r>
      <w:r>
        <w:rPr>
          <w:rFonts w:hint="eastAsia" w:ascii="仿宋" w:hAnsi="仿宋" w:eastAsia="仿宋" w:cs="仿宋"/>
          <w:color w:val="auto"/>
          <w:sz w:val="32"/>
          <w:szCs w:val="32"/>
          <w:shd w:val="clear" w:fill="FFFFFF"/>
          <w:lang w:eastAsia="zh-CN"/>
        </w:rPr>
        <w:t>“政府采购不良行为记录名单”。</w:t>
      </w:r>
    </w:p>
    <w:p w14:paraId="7E86D462">
      <w:pPr>
        <w:pStyle w:val="3"/>
        <w:keepNext w:val="0"/>
        <w:keepLines w:val="0"/>
        <w:pageBreakBefore w:val="0"/>
        <w:widowControl/>
        <w:shd w:val="clear" w:fill="FFFFFF"/>
        <w:kinsoku/>
        <w:wordWrap/>
        <w:overflowPunct/>
        <w:topLinePunct w:val="0"/>
        <w:autoSpaceDE w:val="0"/>
        <w:autoSpaceDN/>
        <w:bidi w:val="0"/>
        <w:adjustRightIn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lang w:eastAsia="zh-CN"/>
        </w:rPr>
        <w:t>（五）在广东省政府采购网政府采购网上登记备案。</w:t>
      </w:r>
    </w:p>
    <w:p w14:paraId="59089485">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（六）</w:t>
      </w:r>
      <w:r>
        <w:rPr>
          <w:rFonts w:hint="eastAsia" w:ascii="仿宋" w:hAnsi="仿宋" w:eastAsia="仿宋" w:cs="仿宋"/>
          <w:color w:val="auto"/>
          <w:spacing w:val="-4"/>
          <w:kern w:val="0"/>
          <w:sz w:val="32"/>
          <w:szCs w:val="32"/>
          <w:lang w:val="en-US" w:eastAsia="zh-CN" w:bidi="ar"/>
        </w:rPr>
        <w:t>本项目不接受联合体服务。</w:t>
      </w:r>
    </w:p>
    <w:p w14:paraId="073CC4C8">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黑体" w:hAnsi="黑体" w:eastAsia="黑体" w:cs="黑体"/>
          <w:b w:val="0"/>
          <w:bCs/>
          <w:color w:val="auto"/>
          <w:spacing w:val="-4"/>
          <w:kern w:val="0"/>
          <w:sz w:val="32"/>
          <w:szCs w:val="32"/>
        </w:rPr>
      </w:pPr>
      <w:r>
        <w:rPr>
          <w:rFonts w:hint="eastAsia" w:ascii="黑体" w:hAnsi="黑体" w:eastAsia="黑体" w:cs="黑体"/>
          <w:b w:val="0"/>
          <w:bCs/>
          <w:color w:val="auto"/>
          <w:spacing w:val="-4"/>
          <w:kern w:val="0"/>
          <w:sz w:val="32"/>
          <w:szCs w:val="32"/>
        </w:rPr>
        <w:t>二、服务内容和服务要求</w:t>
      </w:r>
    </w:p>
    <w:p w14:paraId="628122DE">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rPr>
        <w:t>服务内容</w:t>
      </w:r>
    </w:p>
    <w:p w14:paraId="150EB096">
      <w:pPr>
        <w:keepNext w:val="0"/>
        <w:keepLines w:val="0"/>
        <w:pageBreakBefore w:val="0"/>
        <w:kinsoku/>
        <w:wordWrap/>
        <w:overflowPunct/>
        <w:topLinePunct w:val="0"/>
        <w:autoSpaceDN/>
        <w:bidi w:val="0"/>
        <w:adjustRightInd/>
        <w:snapToGrid w:val="0"/>
        <w:spacing w:line="560" w:lineRule="exact"/>
        <w:ind w:firstLine="627"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bCs w:val="0"/>
          <w:color w:val="auto"/>
          <w:spacing w:val="-4"/>
          <w:kern w:val="0"/>
          <w:sz w:val="32"/>
          <w:szCs w:val="32"/>
        </w:rPr>
        <w:t>项目1：对新会区</w:t>
      </w:r>
      <w:r>
        <w:rPr>
          <w:rFonts w:hint="eastAsia" w:ascii="仿宋" w:hAnsi="仿宋" w:eastAsia="仿宋" w:cs="仿宋"/>
          <w:b/>
          <w:bCs w:val="0"/>
          <w:color w:val="auto"/>
          <w:spacing w:val="-4"/>
          <w:kern w:val="0"/>
          <w:sz w:val="32"/>
          <w:szCs w:val="32"/>
          <w:lang w:val="en-US" w:eastAsia="zh-CN"/>
        </w:rPr>
        <w:t>6</w:t>
      </w:r>
      <w:r>
        <w:rPr>
          <w:rFonts w:hint="eastAsia" w:ascii="仿宋" w:hAnsi="仿宋" w:eastAsia="仿宋" w:cs="仿宋"/>
          <w:b/>
          <w:bCs w:val="0"/>
          <w:color w:val="auto"/>
          <w:spacing w:val="-4"/>
          <w:kern w:val="0"/>
          <w:sz w:val="32"/>
          <w:szCs w:val="32"/>
        </w:rPr>
        <w:t>个学校</w:t>
      </w:r>
      <w:r>
        <w:rPr>
          <w:rFonts w:hint="eastAsia" w:ascii="仿宋" w:hAnsi="仿宋" w:eastAsia="仿宋" w:cs="仿宋"/>
          <w:b/>
          <w:bCs w:val="0"/>
          <w:color w:val="auto"/>
          <w:spacing w:val="-4"/>
          <w:kern w:val="0"/>
          <w:sz w:val="32"/>
          <w:szCs w:val="32"/>
          <w:lang w:val="en-US" w:eastAsia="zh-CN"/>
        </w:rPr>
        <w:t>7个</w:t>
      </w:r>
      <w:r>
        <w:rPr>
          <w:rFonts w:hint="eastAsia" w:ascii="仿宋" w:hAnsi="仿宋" w:eastAsia="仿宋" w:cs="仿宋"/>
          <w:b/>
          <w:bCs w:val="0"/>
          <w:color w:val="auto"/>
          <w:spacing w:val="-4"/>
          <w:kern w:val="0"/>
          <w:sz w:val="32"/>
          <w:szCs w:val="32"/>
        </w:rPr>
        <w:t>离任校长任职期间经济责任</w:t>
      </w:r>
      <w:r>
        <w:rPr>
          <w:rFonts w:hint="eastAsia" w:ascii="仿宋" w:hAnsi="仿宋" w:eastAsia="仿宋" w:cs="仿宋"/>
          <w:b/>
          <w:bCs w:val="0"/>
          <w:color w:val="auto"/>
          <w:spacing w:val="-4"/>
          <w:kern w:val="0"/>
          <w:sz w:val="32"/>
          <w:szCs w:val="32"/>
          <w:lang w:eastAsia="zh-CN"/>
        </w:rPr>
        <w:t>和</w:t>
      </w:r>
      <w:r>
        <w:rPr>
          <w:rFonts w:hint="eastAsia" w:ascii="仿宋" w:hAnsi="仿宋" w:eastAsia="仿宋" w:cs="仿宋"/>
          <w:b/>
          <w:bCs w:val="0"/>
          <w:color w:val="auto"/>
          <w:spacing w:val="-4"/>
          <w:kern w:val="0"/>
          <w:sz w:val="32"/>
          <w:szCs w:val="32"/>
        </w:rPr>
        <w:t>江门市新会区教育局2022年-2024年财务</w:t>
      </w:r>
      <w:r>
        <w:rPr>
          <w:rFonts w:hint="eastAsia" w:ascii="仿宋" w:hAnsi="仿宋" w:eastAsia="仿宋" w:cs="仿宋"/>
          <w:b/>
          <w:bCs w:val="0"/>
          <w:color w:val="auto"/>
          <w:spacing w:val="-4"/>
          <w:kern w:val="0"/>
          <w:sz w:val="32"/>
          <w:szCs w:val="32"/>
          <w:lang w:eastAsia="zh-CN"/>
        </w:rPr>
        <w:t>管理</w:t>
      </w:r>
      <w:r>
        <w:rPr>
          <w:rFonts w:hint="eastAsia" w:ascii="仿宋" w:hAnsi="仿宋" w:eastAsia="仿宋" w:cs="仿宋"/>
          <w:b/>
          <w:bCs w:val="0"/>
          <w:color w:val="auto"/>
          <w:spacing w:val="-4"/>
          <w:kern w:val="0"/>
          <w:sz w:val="32"/>
          <w:szCs w:val="32"/>
          <w:lang w:val="en-US" w:eastAsia="zh-CN"/>
        </w:rPr>
        <w:t>进行专项审计。</w:t>
      </w:r>
      <w:r>
        <w:rPr>
          <w:rFonts w:hint="eastAsia" w:ascii="仿宋" w:hAnsi="仿宋" w:eastAsia="仿宋" w:cs="仿宋"/>
          <w:b w:val="0"/>
          <w:bCs/>
          <w:color w:val="auto"/>
          <w:spacing w:val="-4"/>
          <w:kern w:val="0"/>
          <w:sz w:val="32"/>
          <w:szCs w:val="32"/>
          <w:lang w:val="en-US" w:eastAsia="zh-CN"/>
        </w:rPr>
        <w:t>审计对象</w:t>
      </w:r>
      <w:r>
        <w:rPr>
          <w:rFonts w:hint="eastAsia" w:ascii="仿宋" w:hAnsi="仿宋" w:eastAsia="仿宋" w:cs="仿宋"/>
          <w:b w:val="0"/>
          <w:bCs/>
          <w:color w:val="auto"/>
          <w:spacing w:val="-4"/>
          <w:kern w:val="0"/>
          <w:sz w:val="32"/>
          <w:szCs w:val="32"/>
        </w:rPr>
        <w:t>名单</w:t>
      </w:r>
      <w:r>
        <w:rPr>
          <w:rFonts w:hint="eastAsia" w:ascii="仿宋" w:hAnsi="仿宋" w:eastAsia="仿宋" w:cs="仿宋"/>
          <w:b w:val="0"/>
          <w:bCs/>
          <w:color w:val="auto"/>
          <w:spacing w:val="-4"/>
          <w:kern w:val="0"/>
          <w:sz w:val="32"/>
          <w:szCs w:val="32"/>
          <w:lang w:val="en-US" w:eastAsia="zh-CN"/>
        </w:rPr>
        <w:t>如下</w:t>
      </w:r>
      <w:r>
        <w:rPr>
          <w:rFonts w:hint="eastAsia" w:ascii="仿宋" w:hAnsi="仿宋" w:eastAsia="仿宋" w:cs="仿宋"/>
          <w:b w:val="0"/>
          <w:bCs/>
          <w:color w:val="auto"/>
          <w:spacing w:val="-4"/>
          <w:kern w:val="0"/>
          <w:sz w:val="32"/>
          <w:szCs w:val="32"/>
        </w:rPr>
        <w:t>：</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7"/>
        <w:gridCol w:w="2306"/>
        <w:gridCol w:w="3148"/>
      </w:tblGrid>
      <w:tr w14:paraId="0A49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33B6B">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审计对象</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0B6B6">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审计年度</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CF5D2F">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审计金额（元）（供参考，最终按实际审计金额为准）</w:t>
            </w:r>
          </w:p>
        </w:tc>
      </w:tr>
      <w:tr w14:paraId="15CD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59E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000000"/>
                <w:kern w:val="0"/>
                <w:sz w:val="22"/>
                <w:szCs w:val="22"/>
                <w:u w:val="none"/>
                <w:lang w:val="en-US" w:eastAsia="zh-CN" w:bidi="ar"/>
              </w:rPr>
              <w:t>江门市新会第一中学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7B4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2019.11-2022.11</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EC61F">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278932977.6</w:t>
            </w:r>
          </w:p>
        </w:tc>
      </w:tr>
      <w:tr w14:paraId="6F68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1B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江门市新会第一中学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AC5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2022.11-2024.09</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79311">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185955318.4</w:t>
            </w:r>
          </w:p>
        </w:tc>
      </w:tr>
      <w:tr w14:paraId="5BF9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076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江门市新会葵城中学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A75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2022.11-2024.09</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AB097">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144096013.5</w:t>
            </w:r>
          </w:p>
        </w:tc>
      </w:tr>
      <w:tr w14:paraId="0AF9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84C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江门市新会陈瑞祺中学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E09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2022.05-2024.08</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01CC9">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66511634.48</w:t>
            </w:r>
          </w:p>
        </w:tc>
      </w:tr>
      <w:tr w14:paraId="11BB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DA7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江门市新会区崖门镇仙洞学校</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F07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2021.08-2024.08</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F93DB">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42200302.41</w:t>
            </w:r>
          </w:p>
        </w:tc>
      </w:tr>
      <w:tr w14:paraId="3B2A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9B4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江门市新会区司前镇司前小学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7AC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2021.08-2024.08</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48DDE">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46799273.07</w:t>
            </w:r>
          </w:p>
        </w:tc>
      </w:tr>
      <w:tr w14:paraId="444A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0BA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江门市新会区双水镇中心小学</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B6C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2018.09-2020.09</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04016">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17869943.62</w:t>
            </w:r>
          </w:p>
        </w:tc>
      </w:tr>
      <w:tr w14:paraId="38BA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359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江门市新会区教育局</w:t>
            </w:r>
          </w:p>
        </w:tc>
        <w:tc>
          <w:tcPr>
            <w:tcW w:w="1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421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2022.01-2024.12</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6D8FE">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36688450.20</w:t>
            </w:r>
          </w:p>
        </w:tc>
      </w:tr>
      <w:tr w14:paraId="084D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434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审计金额合计</w:t>
            </w:r>
          </w:p>
        </w:tc>
        <w:tc>
          <w:tcPr>
            <w:tcW w:w="18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26618">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819053913.30</w:t>
            </w:r>
          </w:p>
        </w:tc>
      </w:tr>
    </w:tbl>
    <w:p w14:paraId="2EDC421B">
      <w:pPr>
        <w:keepNext w:val="0"/>
        <w:keepLines w:val="0"/>
        <w:pageBreakBefore w:val="0"/>
        <w:kinsoku/>
        <w:wordWrap/>
        <w:overflowPunct/>
        <w:topLinePunct w:val="0"/>
        <w:autoSpaceDN/>
        <w:bidi w:val="0"/>
        <w:adjustRightInd/>
        <w:snapToGrid w:val="0"/>
        <w:spacing w:line="560" w:lineRule="exact"/>
        <w:ind w:firstLine="627"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bCs w:val="0"/>
          <w:color w:val="auto"/>
          <w:spacing w:val="-4"/>
          <w:kern w:val="0"/>
          <w:sz w:val="32"/>
          <w:szCs w:val="32"/>
        </w:rPr>
        <w:t>项目2：对新会区</w:t>
      </w:r>
      <w:r>
        <w:rPr>
          <w:rFonts w:hint="eastAsia" w:ascii="仿宋" w:hAnsi="仿宋" w:eastAsia="仿宋" w:cs="仿宋"/>
          <w:b/>
          <w:bCs w:val="0"/>
          <w:color w:val="auto"/>
          <w:spacing w:val="-4"/>
          <w:kern w:val="0"/>
          <w:sz w:val="32"/>
          <w:szCs w:val="32"/>
          <w:lang w:val="en-US" w:eastAsia="zh-CN"/>
        </w:rPr>
        <w:t>7</w:t>
      </w:r>
      <w:r>
        <w:rPr>
          <w:rFonts w:hint="eastAsia" w:ascii="仿宋" w:hAnsi="仿宋" w:eastAsia="仿宋" w:cs="仿宋"/>
          <w:b/>
          <w:bCs w:val="0"/>
          <w:color w:val="auto"/>
          <w:spacing w:val="-4"/>
          <w:kern w:val="0"/>
          <w:sz w:val="32"/>
          <w:szCs w:val="32"/>
        </w:rPr>
        <w:t>个学校</w:t>
      </w:r>
      <w:r>
        <w:rPr>
          <w:rFonts w:hint="eastAsia" w:ascii="仿宋" w:hAnsi="仿宋" w:eastAsia="仿宋" w:cs="仿宋"/>
          <w:b/>
          <w:bCs w:val="0"/>
          <w:color w:val="auto"/>
          <w:spacing w:val="-4"/>
          <w:kern w:val="0"/>
          <w:sz w:val="32"/>
          <w:szCs w:val="32"/>
          <w:lang w:val="en-US" w:eastAsia="zh-CN"/>
        </w:rPr>
        <w:t>7个</w:t>
      </w:r>
      <w:r>
        <w:rPr>
          <w:rFonts w:hint="eastAsia" w:ascii="仿宋" w:hAnsi="仿宋" w:eastAsia="仿宋" w:cs="仿宋"/>
          <w:b/>
          <w:bCs w:val="0"/>
          <w:color w:val="auto"/>
          <w:spacing w:val="-4"/>
          <w:kern w:val="0"/>
          <w:sz w:val="32"/>
          <w:szCs w:val="32"/>
        </w:rPr>
        <w:t>离任校长任职期间经济责任</w:t>
      </w:r>
      <w:r>
        <w:rPr>
          <w:rFonts w:hint="eastAsia" w:ascii="仿宋" w:hAnsi="仿宋" w:eastAsia="仿宋" w:cs="仿宋"/>
          <w:b/>
          <w:bCs w:val="0"/>
          <w:color w:val="auto"/>
          <w:spacing w:val="-4"/>
          <w:kern w:val="0"/>
          <w:sz w:val="32"/>
          <w:szCs w:val="32"/>
          <w:lang w:eastAsia="zh-CN"/>
        </w:rPr>
        <w:t>和</w:t>
      </w:r>
      <w:r>
        <w:rPr>
          <w:rFonts w:hint="eastAsia" w:ascii="仿宋" w:hAnsi="仿宋" w:eastAsia="仿宋" w:cs="仿宋"/>
          <w:b/>
          <w:bCs w:val="0"/>
          <w:color w:val="auto"/>
          <w:spacing w:val="-4"/>
          <w:kern w:val="0"/>
          <w:sz w:val="32"/>
          <w:szCs w:val="32"/>
        </w:rPr>
        <w:t>江门市新会区教师发展中心2022年-2024年财务</w:t>
      </w:r>
      <w:r>
        <w:rPr>
          <w:rFonts w:hint="eastAsia" w:ascii="仿宋" w:hAnsi="仿宋" w:eastAsia="仿宋" w:cs="仿宋"/>
          <w:b/>
          <w:bCs w:val="0"/>
          <w:color w:val="auto"/>
          <w:spacing w:val="-4"/>
          <w:kern w:val="0"/>
          <w:sz w:val="32"/>
          <w:szCs w:val="32"/>
          <w:lang w:eastAsia="zh-CN"/>
        </w:rPr>
        <w:t>管理</w:t>
      </w:r>
      <w:r>
        <w:rPr>
          <w:rFonts w:hint="eastAsia" w:ascii="仿宋" w:hAnsi="仿宋" w:eastAsia="仿宋" w:cs="仿宋"/>
          <w:b/>
          <w:bCs w:val="0"/>
          <w:color w:val="auto"/>
          <w:spacing w:val="-4"/>
          <w:kern w:val="0"/>
          <w:sz w:val="32"/>
          <w:szCs w:val="32"/>
        </w:rPr>
        <w:t>进行专项审计。</w:t>
      </w:r>
      <w:r>
        <w:rPr>
          <w:rFonts w:hint="eastAsia" w:ascii="仿宋" w:hAnsi="仿宋" w:eastAsia="仿宋" w:cs="仿宋"/>
          <w:b w:val="0"/>
          <w:bCs/>
          <w:color w:val="auto"/>
          <w:spacing w:val="-4"/>
          <w:kern w:val="0"/>
          <w:sz w:val="32"/>
          <w:szCs w:val="32"/>
          <w:lang w:val="en-US" w:eastAsia="zh-CN"/>
        </w:rPr>
        <w:t>审计对象</w:t>
      </w:r>
      <w:r>
        <w:rPr>
          <w:rFonts w:hint="eastAsia" w:ascii="仿宋" w:hAnsi="仿宋" w:eastAsia="仿宋" w:cs="仿宋"/>
          <w:b w:val="0"/>
          <w:bCs/>
          <w:color w:val="auto"/>
          <w:spacing w:val="-4"/>
          <w:kern w:val="0"/>
          <w:sz w:val="32"/>
          <w:szCs w:val="32"/>
        </w:rPr>
        <w:t>名单</w:t>
      </w:r>
      <w:r>
        <w:rPr>
          <w:rFonts w:hint="eastAsia" w:ascii="仿宋" w:hAnsi="仿宋" w:eastAsia="仿宋" w:cs="仿宋"/>
          <w:b w:val="0"/>
          <w:bCs/>
          <w:color w:val="auto"/>
          <w:spacing w:val="-4"/>
          <w:kern w:val="0"/>
          <w:sz w:val="32"/>
          <w:szCs w:val="32"/>
          <w:lang w:val="en-US" w:eastAsia="zh-CN"/>
        </w:rPr>
        <w:t>如下</w:t>
      </w:r>
      <w:r>
        <w:rPr>
          <w:rFonts w:hint="eastAsia" w:ascii="仿宋" w:hAnsi="仿宋" w:eastAsia="仿宋" w:cs="仿宋"/>
          <w:b w:val="0"/>
          <w:bCs/>
          <w:color w:val="auto"/>
          <w:spacing w:val="-4"/>
          <w:kern w:val="0"/>
          <w:sz w:val="32"/>
          <w:szCs w:val="32"/>
        </w:rPr>
        <w:t>：</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7"/>
        <w:gridCol w:w="2322"/>
        <w:gridCol w:w="3132"/>
      </w:tblGrid>
      <w:tr w14:paraId="5C80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D6ABC">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单位名称</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B43BF">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审计年度</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349B1">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审计金额（元）（供参考，最终按实际审计金额为准）</w:t>
            </w:r>
          </w:p>
        </w:tc>
      </w:tr>
      <w:tr w14:paraId="3409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69D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江门市新会区三江镇联和小学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9B3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2021.08-2022.08</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1F19E">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25692807.32</w:t>
            </w:r>
          </w:p>
        </w:tc>
      </w:tr>
      <w:tr w14:paraId="3D61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C32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江门市新会区特殊教育学校</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15E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2022.04-2025.04</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0EF26">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26428837.92</w:t>
            </w:r>
          </w:p>
        </w:tc>
      </w:tr>
      <w:tr w14:paraId="5425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FAB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江门市新会区罗坑镇罗坑小学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C7E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2021.03-2024.08</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D3E82">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36424155.84</w:t>
            </w:r>
          </w:p>
        </w:tc>
      </w:tr>
      <w:tr w14:paraId="2D17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DFE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江门市新会实验幼儿园</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F6F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2021.12-2024.12</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3FED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78102684.12</w:t>
            </w:r>
          </w:p>
        </w:tc>
      </w:tr>
      <w:tr w14:paraId="4C92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B5B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江门市新会第二中学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20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2021.10-2024.10</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F3EB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91521441.36</w:t>
            </w:r>
          </w:p>
        </w:tc>
      </w:tr>
      <w:tr w14:paraId="6B81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CE3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江门市新会陈经纶中学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5C0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2021.06-2024.06</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CA2F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260145066.8</w:t>
            </w:r>
          </w:p>
        </w:tc>
      </w:tr>
      <w:tr w14:paraId="4BFD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262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000000"/>
                <w:kern w:val="0"/>
                <w:sz w:val="22"/>
                <w:szCs w:val="22"/>
                <w:u w:val="none"/>
                <w:lang w:val="en-US" w:eastAsia="zh-CN" w:bidi="ar"/>
              </w:rPr>
              <w:t>江门市新会华侨中学</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3953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000000"/>
                <w:kern w:val="0"/>
                <w:sz w:val="22"/>
                <w:szCs w:val="22"/>
                <w:u w:val="none"/>
                <w:lang w:val="en-US" w:eastAsia="zh-CN" w:bidi="ar"/>
              </w:rPr>
              <w:t>2019.11-2022.11</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B7B3C">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274625795.1</w:t>
            </w:r>
          </w:p>
        </w:tc>
      </w:tr>
      <w:tr w14:paraId="4FA2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A62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江门市新会区教师发展中心</w:t>
            </w:r>
          </w:p>
        </w:tc>
        <w:tc>
          <w:tcPr>
            <w:tcW w:w="13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DD5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2"/>
                <w:szCs w:val="22"/>
                <w:u w:val="none"/>
                <w:lang w:val="en-US" w:eastAsia="zh-CN" w:bidi="ar"/>
              </w:rPr>
              <w:t>2022.01-2024.12</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45DE0">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23737436.86</w:t>
            </w:r>
          </w:p>
        </w:tc>
      </w:tr>
      <w:tr w14:paraId="6112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17A5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审计金额合计</w:t>
            </w:r>
          </w:p>
        </w:tc>
        <w:tc>
          <w:tcPr>
            <w:tcW w:w="18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1ED08">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816678225.30</w:t>
            </w:r>
          </w:p>
        </w:tc>
      </w:tr>
    </w:tbl>
    <w:p w14:paraId="0A3C90E4">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rPr>
        <w:t>服务要求</w:t>
      </w:r>
    </w:p>
    <w:p w14:paraId="56A930C5">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lang w:eastAsia="zh-CN"/>
        </w:rPr>
        <w:t>（</w:t>
      </w:r>
      <w:r>
        <w:rPr>
          <w:rFonts w:hint="eastAsia" w:ascii="仿宋" w:hAnsi="仿宋" w:eastAsia="仿宋" w:cs="仿宋"/>
          <w:b w:val="0"/>
          <w:bCs/>
          <w:color w:val="auto"/>
          <w:spacing w:val="-4"/>
          <w:kern w:val="0"/>
          <w:sz w:val="32"/>
          <w:szCs w:val="32"/>
          <w:lang w:val="en-US" w:eastAsia="zh-CN"/>
        </w:rPr>
        <w:t>1）</w:t>
      </w:r>
      <w:r>
        <w:rPr>
          <w:rFonts w:hint="eastAsia" w:ascii="仿宋" w:hAnsi="仿宋" w:eastAsia="仿宋" w:cs="仿宋"/>
          <w:b w:val="0"/>
          <w:bCs/>
          <w:color w:val="auto"/>
          <w:spacing w:val="-4"/>
          <w:kern w:val="0"/>
          <w:sz w:val="32"/>
          <w:szCs w:val="32"/>
        </w:rPr>
        <w:t>供应商合理安排具有相应职业资格和专业技能的人员按照有关法律法规、审计准则和职业规范准则在规定时间内完成委托业务，确保审计程序规范、证据充分、定性准确、报告专业。</w:t>
      </w:r>
    </w:p>
    <w:p w14:paraId="7DB50962">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lang w:eastAsia="zh-CN"/>
        </w:rPr>
        <w:t>（</w:t>
      </w:r>
      <w:r>
        <w:rPr>
          <w:rFonts w:hint="eastAsia" w:ascii="仿宋" w:hAnsi="仿宋" w:eastAsia="仿宋" w:cs="仿宋"/>
          <w:b w:val="0"/>
          <w:bCs/>
          <w:color w:val="auto"/>
          <w:spacing w:val="-4"/>
          <w:kern w:val="0"/>
          <w:sz w:val="32"/>
          <w:szCs w:val="32"/>
          <w:lang w:val="en-US" w:eastAsia="zh-CN"/>
        </w:rPr>
        <w:t>2）</w:t>
      </w:r>
      <w:r>
        <w:rPr>
          <w:rFonts w:hint="eastAsia" w:ascii="仿宋" w:hAnsi="仿宋" w:eastAsia="仿宋" w:cs="仿宋"/>
          <w:b w:val="0"/>
          <w:bCs/>
          <w:color w:val="auto"/>
          <w:spacing w:val="-4"/>
          <w:kern w:val="0"/>
          <w:sz w:val="32"/>
          <w:szCs w:val="32"/>
        </w:rPr>
        <w:t>中选供应商开展审计业务期间需保证独立、客观、公正的执业立场。与被审计对象存在亲属或利害关系的应当实行回避原则，审计期间，不得接受被审计单位及与委托事项有利害关系人的礼品、礼金和有价证券等，不得收受或索取其他不正当利益。</w:t>
      </w:r>
    </w:p>
    <w:p w14:paraId="6474438E">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lang w:eastAsia="zh-CN"/>
        </w:rPr>
        <w:t>（</w:t>
      </w:r>
      <w:r>
        <w:rPr>
          <w:rFonts w:hint="eastAsia" w:ascii="仿宋" w:hAnsi="仿宋" w:eastAsia="仿宋" w:cs="仿宋"/>
          <w:b w:val="0"/>
          <w:bCs/>
          <w:color w:val="auto"/>
          <w:spacing w:val="-4"/>
          <w:kern w:val="0"/>
          <w:sz w:val="32"/>
          <w:szCs w:val="32"/>
          <w:lang w:val="en-US" w:eastAsia="zh-CN"/>
        </w:rPr>
        <w:t>3）</w:t>
      </w:r>
      <w:r>
        <w:rPr>
          <w:rFonts w:hint="eastAsia" w:ascii="仿宋" w:hAnsi="仿宋" w:eastAsia="仿宋" w:cs="仿宋"/>
          <w:b w:val="0"/>
          <w:bCs/>
          <w:color w:val="auto"/>
          <w:spacing w:val="-4"/>
          <w:kern w:val="0"/>
          <w:sz w:val="32"/>
          <w:szCs w:val="32"/>
        </w:rPr>
        <w:t>中选供应商严格对审计过程中获取的所有信息（包括但不限于财务数据、管理信息、个人隐私等）承担永久保密义务，不得向第三方泄露。审计工作底稿及获取的工作资料，</w:t>
      </w:r>
      <w:r>
        <w:rPr>
          <w:rFonts w:hint="eastAsia" w:ascii="仿宋" w:hAnsi="仿宋" w:eastAsia="仿宋" w:cs="仿宋"/>
          <w:b w:val="0"/>
          <w:bCs/>
          <w:color w:val="auto"/>
          <w:spacing w:val="-4"/>
          <w:kern w:val="0"/>
          <w:sz w:val="32"/>
          <w:szCs w:val="32"/>
          <w:lang w:eastAsia="zh-CN"/>
        </w:rPr>
        <w:t>除</w:t>
      </w:r>
      <w:r>
        <w:rPr>
          <w:rFonts w:hint="eastAsia" w:ascii="仿宋" w:hAnsi="仿宋" w:eastAsia="仿宋" w:cs="仿宋"/>
          <w:b w:val="0"/>
          <w:bCs/>
          <w:color w:val="auto"/>
          <w:spacing w:val="-4"/>
          <w:kern w:val="0"/>
          <w:sz w:val="32"/>
          <w:szCs w:val="32"/>
        </w:rPr>
        <w:t>法律法规相关要求或委托方同意后，不得带离指定工作场所或用于本项目以外的任何目的。</w:t>
      </w:r>
    </w:p>
    <w:p w14:paraId="6085B587">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lang w:eastAsia="zh-CN"/>
        </w:rPr>
        <w:t>（</w:t>
      </w:r>
      <w:r>
        <w:rPr>
          <w:rFonts w:hint="eastAsia" w:ascii="仿宋" w:hAnsi="仿宋" w:eastAsia="仿宋" w:cs="仿宋"/>
          <w:b w:val="0"/>
          <w:bCs/>
          <w:color w:val="auto"/>
          <w:spacing w:val="-4"/>
          <w:kern w:val="0"/>
          <w:sz w:val="32"/>
          <w:szCs w:val="32"/>
          <w:lang w:val="en-US" w:eastAsia="zh-CN"/>
        </w:rPr>
        <w:t>4）</w:t>
      </w:r>
      <w:r>
        <w:rPr>
          <w:rFonts w:hint="eastAsia" w:ascii="仿宋" w:hAnsi="仿宋" w:eastAsia="仿宋" w:cs="仿宋"/>
          <w:b w:val="0"/>
          <w:bCs/>
          <w:color w:val="auto"/>
          <w:spacing w:val="-4"/>
          <w:kern w:val="0"/>
          <w:sz w:val="32"/>
          <w:szCs w:val="32"/>
        </w:rPr>
        <w:t>中选供应商原则上在受委托后60个日历日内按照委托审计合同要求完成审计项目。出具的审计结论和意见应当准确恰当，审计结论与审计证据对应关系严密，审计报告披露信息全面完整。</w:t>
      </w:r>
    </w:p>
    <w:p w14:paraId="08129E0D">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三、合同履行地点和方式</w:t>
      </w:r>
    </w:p>
    <w:p w14:paraId="0F5096B7">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合同履行地点：广东省江门市新会区</w:t>
      </w:r>
    </w:p>
    <w:p w14:paraId="390582F4">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color w:val="auto"/>
          <w:spacing w:val="-4"/>
          <w:kern w:val="0"/>
          <w:sz w:val="32"/>
          <w:szCs w:val="32"/>
        </w:rPr>
      </w:pPr>
      <w:r>
        <w:rPr>
          <w:rFonts w:hint="eastAsia" w:ascii="仿宋" w:hAnsi="仿宋" w:eastAsia="仿宋" w:cs="仿宋"/>
          <w:b w:val="0"/>
          <w:bCs/>
          <w:color w:val="auto"/>
          <w:spacing w:val="-4"/>
          <w:kern w:val="0"/>
          <w:sz w:val="32"/>
          <w:szCs w:val="32"/>
        </w:rPr>
        <w:t>合同履行方式：出具纸质版审计报告（需出具一式三份的报告），直接送达或快递送达。</w:t>
      </w:r>
    </w:p>
    <w:p w14:paraId="796EBDB2">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四、采购预算和报价要求</w:t>
      </w:r>
    </w:p>
    <w:p w14:paraId="5DC93F8D">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lang w:eastAsia="zh-CN"/>
        </w:rPr>
        <w:t>预算金额</w:t>
      </w:r>
    </w:p>
    <w:p w14:paraId="3D314156">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本次审计费用为全包价，报价应包括成本监审过程中的人工劳务、报告资料、税费等全部费用，每个项目上限人民币50000元，最终结算价以本次中选报价为准。</w:t>
      </w:r>
    </w:p>
    <w:p w14:paraId="60068D03">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lang w:eastAsia="zh-CN"/>
        </w:rPr>
        <w:t>报价要求</w:t>
      </w:r>
    </w:p>
    <w:p w14:paraId="22D4F7AC">
      <w:pPr>
        <w:keepNext w:val="0"/>
        <w:keepLines w:val="0"/>
        <w:pageBreakBefore w:val="0"/>
        <w:numPr>
          <w:ilvl w:val="0"/>
          <w:numId w:val="0"/>
        </w:numPr>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供应商应报出确定的金额。</w:t>
      </w:r>
    </w:p>
    <w:p w14:paraId="2092A0E8">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五、服务时间</w:t>
      </w:r>
    </w:p>
    <w:p w14:paraId="613248C0">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原则上在供应商受委托后60个日历日内按照委托审计合同要求完成审计项目，在工作中发现重大事项需要进一步核实、因不可抗力等特殊情况的由双方协商调整工作期限。</w:t>
      </w:r>
    </w:p>
    <w:p w14:paraId="587233A0">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六、验收</w:t>
      </w:r>
    </w:p>
    <w:p w14:paraId="5C4CBBFB">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（一）验收时间</w:t>
      </w:r>
    </w:p>
    <w:p w14:paraId="1B1C6E0D">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color w:val="auto"/>
          <w:spacing w:val="-4"/>
          <w:kern w:val="0"/>
          <w:sz w:val="32"/>
          <w:szCs w:val="32"/>
        </w:rPr>
      </w:pPr>
      <w:r>
        <w:rPr>
          <w:rFonts w:hint="eastAsia" w:ascii="仿宋" w:hAnsi="仿宋" w:eastAsia="仿宋" w:cs="仿宋"/>
          <w:color w:val="auto"/>
          <w:spacing w:val="-4"/>
          <w:kern w:val="0"/>
          <w:sz w:val="32"/>
          <w:szCs w:val="32"/>
        </w:rPr>
        <w:t>出具审计报告后的10个工作日内进行验收。</w:t>
      </w:r>
    </w:p>
    <w:p w14:paraId="1023DB98">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（二）验收方式</w:t>
      </w:r>
    </w:p>
    <w:p w14:paraId="2ADA5B72">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由采购人进行验收。</w:t>
      </w:r>
    </w:p>
    <w:p w14:paraId="11E280C1">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（三）验收标准</w:t>
      </w:r>
    </w:p>
    <w:p w14:paraId="2569C9B6">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按照《广东省教育系统内部审计工作规定》、《广东省教育系统有关负责人经济责任审计办法》、《中国注册会计师审计准则》等相关规定。</w:t>
      </w:r>
    </w:p>
    <w:p w14:paraId="7A041432">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（四）验收不合格的处理方式</w:t>
      </w:r>
    </w:p>
    <w:p w14:paraId="2991358A">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经采购方验收不合格，向中选供应商提出书面意见。中选供应商在5个工作日内确定是否重新出具审计报告，自作出重新出具审计报告决定之日起20个工作日内重新出具审计报告。如遇特殊情况由双方协商调整时间。</w:t>
      </w:r>
    </w:p>
    <w:p w14:paraId="283F4EFE">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七、结算方式</w:t>
      </w:r>
    </w:p>
    <w:p w14:paraId="42527ECE">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采购方验收合格且收到正式发票后30个工作日以银行转账方式向中选供应商支付100%合同款项。</w:t>
      </w:r>
    </w:p>
    <w:p w14:paraId="4F77E27C">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八、违约责任</w:t>
      </w:r>
    </w:p>
    <w:p w14:paraId="48CBFFEE">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color w:val="auto"/>
          <w:spacing w:val="-4"/>
          <w:kern w:val="0"/>
          <w:sz w:val="32"/>
          <w:szCs w:val="32"/>
        </w:rPr>
      </w:pPr>
      <w:r>
        <w:rPr>
          <w:rFonts w:hint="eastAsia" w:ascii="仿宋" w:hAnsi="仿宋" w:eastAsia="仿宋" w:cs="仿宋"/>
          <w:b w:val="0"/>
          <w:bCs/>
          <w:color w:val="auto"/>
          <w:spacing w:val="-4"/>
          <w:kern w:val="0"/>
          <w:sz w:val="32"/>
          <w:szCs w:val="32"/>
        </w:rPr>
        <w:t>江门市新会区教育局为委托方，供应商为受托方。</w:t>
      </w:r>
    </w:p>
    <w:p w14:paraId="20A7E5B1">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（一）委托方的违约责任</w:t>
      </w:r>
    </w:p>
    <w:p w14:paraId="4683B63D">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1、委托方违反约定，不能按时提供财务资料或工作条件或提供财务资料不准确，导致受托方无法按期完成并提交审计报告的，受托方有权按延误的时间予以顺延；因此而造成审计报告无法按时提交时，委托方应按实际完成的工作量增付费用。</w:t>
      </w:r>
    </w:p>
    <w:p w14:paraId="08E3A12F">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2、委托方因故要求中途终止合同时，应及时书面通知受托方。若受托方已开展工作，委托方应按受托方实际完成的工作量支付相应的业务费用。</w:t>
      </w:r>
    </w:p>
    <w:p w14:paraId="6546A5BA">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（二）受托方的违约责任</w:t>
      </w:r>
    </w:p>
    <w:p w14:paraId="7A6B1AD1">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1、受托方故意或因重大过失，提供错误或不合格信息而导致委托方损失的，受托方有责任采取补救措施，并按实际情况赔偿委托方因此而造成的直接损失。</w:t>
      </w:r>
    </w:p>
    <w:p w14:paraId="2D6F9424">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2、受托方恶意违反约定，未按合同约定提交审计报告的，委托方有权解除合同。受托方应当承担继续履行、采取补救措施或赔偿损失等违约责任。</w:t>
      </w:r>
    </w:p>
    <w:p w14:paraId="7E5A3498">
      <w:pPr>
        <w:keepNext w:val="0"/>
        <w:keepLines w:val="0"/>
        <w:pageBreakBefore w:val="0"/>
        <w:kinsoku/>
        <w:wordWrap/>
        <w:overflowPunct/>
        <w:topLinePunct w:val="0"/>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九、解决争议方式</w:t>
      </w:r>
    </w:p>
    <w:p w14:paraId="4A93E050">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政府采购合同中如有未尽事宜，双方协商一致后可以签订补充合同，但补充合同不得与法律法规和有关政府采购政策相抵触。</w:t>
      </w:r>
    </w:p>
    <w:p w14:paraId="0E3DE1D8">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textAlignment w:val="auto"/>
        <w:rPr>
          <w:rFonts w:hint="eastAsia" w:ascii="仿宋" w:hAnsi="仿宋" w:eastAsia="仿宋" w:cs="仿宋"/>
          <w:b w:val="0"/>
          <w:bCs/>
          <w:color w:val="auto"/>
          <w:spacing w:val="-4"/>
          <w:kern w:val="0"/>
          <w:sz w:val="32"/>
          <w:szCs w:val="32"/>
        </w:rPr>
      </w:pPr>
      <w:r>
        <w:rPr>
          <w:rFonts w:hint="eastAsia" w:ascii="仿宋" w:hAnsi="仿宋" w:eastAsia="仿宋" w:cs="仿宋"/>
          <w:b w:val="0"/>
          <w:bCs/>
          <w:color w:val="auto"/>
          <w:spacing w:val="-4"/>
          <w:kern w:val="0"/>
          <w:sz w:val="32"/>
          <w:szCs w:val="32"/>
        </w:rPr>
        <w:t>合同执行过程中发生的任何争议，当事人各方应当及时协商解决，协商不成时，任何一方均可向江门市新会区人民法院提起诉讼。</w:t>
      </w:r>
    </w:p>
    <w:p w14:paraId="7B9D4DE8">
      <w:pPr>
        <w:keepNext w:val="0"/>
        <w:keepLines w:val="0"/>
        <w:pageBreakBefore w:val="0"/>
        <w:kinsoku/>
        <w:wordWrap/>
        <w:overflowPunct/>
        <w:topLinePunct w:val="0"/>
        <w:autoSpaceDN/>
        <w:bidi w:val="0"/>
        <w:adjustRightInd/>
        <w:snapToGrid w:val="0"/>
        <w:spacing w:line="560" w:lineRule="exact"/>
        <w:ind w:firstLine="611" w:firstLineChars="196"/>
        <w:textAlignment w:val="auto"/>
        <w:rPr>
          <w:rFonts w:hint="eastAsia" w:ascii="仿宋" w:hAnsi="仿宋" w:eastAsia="仿宋" w:cs="仿宋"/>
          <w:color w:val="auto"/>
          <w:spacing w:val="-4"/>
          <w:kern w:val="0"/>
          <w:sz w:val="32"/>
          <w:szCs w:val="32"/>
        </w:rPr>
      </w:pPr>
    </w:p>
    <w:p w14:paraId="4F96AE5D">
      <w:pPr>
        <w:keepNext w:val="0"/>
        <w:keepLines w:val="0"/>
        <w:pageBreakBefore w:val="0"/>
        <w:kinsoku/>
        <w:wordWrap/>
        <w:overflowPunct/>
        <w:topLinePunct w:val="0"/>
        <w:autoSpaceDN/>
        <w:bidi w:val="0"/>
        <w:snapToGrid w:val="0"/>
        <w:spacing w:line="560" w:lineRule="exact"/>
        <w:ind w:firstLine="611" w:firstLineChars="196"/>
        <w:rPr>
          <w:rFonts w:hint="eastAsia" w:ascii="仿宋_GB2312" w:hAnsi="仿宋"/>
          <w:color w:val="auto"/>
          <w:spacing w:val="-4"/>
          <w:kern w:val="0"/>
          <w:sz w:val="32"/>
          <w:szCs w:val="32"/>
        </w:rPr>
      </w:pPr>
    </w:p>
    <w:p w14:paraId="3DF4E3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F577B"/>
    <w:rsid w:val="005936E8"/>
    <w:rsid w:val="54FE5A7F"/>
    <w:rsid w:val="5932191C"/>
    <w:rsid w:val="6E8F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2025-08-19T01:05:00Z</dcterms:created>
  <dc:creator>林玲</dc:creator>
  <cp:lastModifiedBy>林玲</cp:lastModifiedBy>
  <dcterms:modified xsi:type="dcterms:W3CDTF">2025-08-19T01:07:10Z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8AD2AB1794B34C108DDBC0CA1961CD06_11</vt:lpwstr>
  </property>
  <property fmtid="{D5CDD505-2E9C-101B-9397-08002B2CF9AE}" pid="4" name="KSOTemplateDocerSaveRecord">
    <vt:lpwstr>eyJoZGlkIjoiZTUxZTNiYmRkMmFhOTYyMDUyNGQxZTdiYWU4MjAwNDEiLCJ1c2VySWQiOiI2ODkyMjcyMjcifQ==</vt:lpwstr>
  </property>
</Properties>
</file>