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BB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新会区202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耕地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轮作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试点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项目实施方案</w:t>
      </w:r>
    </w:p>
    <w:p w14:paraId="550024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712E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《关于下达202</w:t>
      </w:r>
      <w:r>
        <w:rPr>
          <w:rFonts w:hint="eastAsia" w:ascii="仿宋_GB2312" w:hAnsi="仿宋" w:eastAsia="仿宋_GB2312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年中央耕地建设与利用资金（耕地轮作休耕）的通知》（江财农〔202</w:t>
      </w:r>
      <w:r>
        <w:rPr>
          <w:rFonts w:hint="eastAsia" w:ascii="仿宋_GB2312" w:hAnsi="仿宋" w:eastAsia="仿宋_GB2312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" w:eastAsia="仿宋_GB2312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仿宋_GB2312" w:hAnsi="仿宋" w:eastAsia="仿宋_GB2312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以及《关于印发江门市2025年轮作休耕项目实施方案的通知》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等文件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以及上级下达紫云英任务等要求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，借鉴我区近年开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展双季稻轮作项目成功经验，结合实际，为做好我区202</w:t>
      </w:r>
      <w:r>
        <w:rPr>
          <w:rFonts w:hint="eastAsia" w:ascii="仿宋_GB2312" w:hAnsi="仿宋" w:eastAsia="仿宋_GB2312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sz w:val="32"/>
          <w:szCs w:val="32"/>
        </w:rPr>
        <w:t>轮作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工作，制定本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方案。</w:t>
      </w:r>
    </w:p>
    <w:p w14:paraId="5BD8FB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一、指导思想</w:t>
      </w:r>
    </w:p>
    <w:p w14:paraId="70E92A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eastAsia="仿宋_GB2312"/>
        </w:rPr>
      </w:pPr>
      <w:r>
        <w:rPr>
          <w:rStyle w:val="8"/>
          <w:rFonts w:hint="eastAsia" w:ascii="仿宋_GB2312" w:eastAsia="仿宋_GB2312"/>
        </w:rPr>
        <w:t>为贯彻落实中央农村工作会议精神，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牢固树立新发展理念，深入实施“藏粮于地、藏粮于技”战略，加大政策扶持，瞄准关键薄弱环节，探索形成可复制、可推广的耕地轮作组织方式、技术模式和政策框架，加快构建符合我区实际的绿色种植制度，</w:t>
      </w:r>
      <w:r>
        <w:rPr>
          <w:rStyle w:val="8"/>
          <w:rFonts w:hint="eastAsia" w:ascii="仿宋_GB2312" w:eastAsia="仿宋_GB2312"/>
        </w:rPr>
        <w:t>推动双季稻轮作冬种油菜及紫云英等生</w:t>
      </w:r>
      <w:r>
        <w:rPr>
          <w:rStyle w:val="8"/>
          <w:rFonts w:hint="eastAsia" w:ascii="仿宋_GB2312" w:eastAsia="仿宋_GB2312"/>
          <w:lang w:eastAsia="zh-CN"/>
        </w:rPr>
        <w:t>产</w:t>
      </w:r>
      <w:r>
        <w:rPr>
          <w:rStyle w:val="8"/>
          <w:rFonts w:hint="eastAsia" w:ascii="仿宋_GB2312" w:eastAsia="仿宋_GB2312"/>
        </w:rPr>
        <w:t>高质量发展，保障种植农产品稳产保供。</w:t>
      </w:r>
    </w:p>
    <w:p w14:paraId="1E2A2C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二、基本原则</w:t>
      </w:r>
    </w:p>
    <w:p w14:paraId="3C4B30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eastAsia="仿宋_GB231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（一）巩固提升粮食产能</w:t>
      </w:r>
      <w:r>
        <w:rPr>
          <w:rStyle w:val="8"/>
          <w:rFonts w:hint="eastAsia" w:ascii="楷体_GB2312" w:hAnsi="楷体_GB2312" w:eastAsia="楷体_GB2312" w:cs="楷体_GB2312"/>
        </w:rPr>
        <w:t>。</w:t>
      </w:r>
      <w:r>
        <w:rPr>
          <w:rStyle w:val="8"/>
          <w:rFonts w:hint="eastAsia" w:ascii="仿宋_GB2312" w:eastAsia="仿宋_GB2312"/>
        </w:rPr>
        <w:t>按照“粮油结合、提升粮食产能”的原则进行作物品种内部轮作，开展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sz w:val="32"/>
          <w:szCs w:val="32"/>
        </w:rPr>
        <w:t>轮作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Style w:val="8"/>
          <w:rFonts w:hint="eastAsia" w:ascii="仿宋_GB2312" w:eastAsia="仿宋_GB2312"/>
        </w:rPr>
        <w:t>。</w:t>
      </w:r>
    </w:p>
    <w:p w14:paraId="1CD405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eastAsia="仿宋_GB231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lang w:val="en-US" w:eastAsia="zh-CN"/>
        </w:rPr>
        <w:t>新型经营主体或整镇整村推进。</w:t>
      </w:r>
      <w:r>
        <w:rPr>
          <w:rStyle w:val="8"/>
          <w:rFonts w:hint="eastAsia" w:ascii="仿宋_GB2312" w:eastAsia="仿宋_GB2312"/>
          <w:lang w:val="en-US" w:eastAsia="zh-CN"/>
        </w:rPr>
        <w:t>优先选择家庭农场、种植大户、专业合作社、农业龙头企业等新型经营主体（以下都简称为“新型经营主体”）承担项目任务，也可优先选择已有一定基础和工作积极性较高的重点镇（街）或行政村，开展整村整建制推进项目实施，避免平均主义，提高项目实施成效。</w:t>
      </w:r>
    </w:p>
    <w:p w14:paraId="34AEEC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（三）尊重农民意愿。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坚持以农民为主体，充分尊重农民意愿。通过社会化服务，引导农民自愿参</w:t>
      </w:r>
      <w:r>
        <w:rPr>
          <w:rStyle w:val="8"/>
          <w:rFonts w:hint="eastAsia" w:ascii="仿宋_GB2312" w:eastAsia="仿宋_GB2312"/>
        </w:rPr>
        <w:t>与</w:t>
      </w:r>
      <w:r>
        <w:rPr>
          <w:rStyle w:val="8"/>
          <w:rFonts w:hint="eastAsia" w:ascii="仿宋_GB2312" w:eastAsia="仿宋_GB2312"/>
          <w:lang w:val="en-US" w:eastAsia="zh-CN"/>
        </w:rPr>
        <w:t>耕地</w:t>
      </w:r>
      <w:r>
        <w:rPr>
          <w:rStyle w:val="8"/>
          <w:rFonts w:hint="eastAsia" w:ascii="仿宋_GB2312" w:eastAsia="仿宋_GB2312"/>
        </w:rPr>
        <w:t>轮作</w:t>
      </w:r>
      <w:r>
        <w:rPr>
          <w:rStyle w:val="8"/>
          <w:rFonts w:hint="eastAsia" w:ascii="仿宋_GB2312" w:eastAsia="仿宋_GB2312"/>
          <w:lang w:val="en-US" w:eastAsia="zh-CN"/>
        </w:rPr>
        <w:t>试点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Style w:val="8"/>
          <w:rFonts w:hint="eastAsia" w:ascii="仿宋_GB2312" w:eastAsia="仿宋_GB2312"/>
        </w:rPr>
        <w:t>，发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挥其主观能动性。</w:t>
      </w:r>
    </w:p>
    <w:p w14:paraId="12581C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cs="宋体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（四）资源整合推进。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优先扶持</w:t>
      </w:r>
      <w:r>
        <w:rPr>
          <w:rFonts w:hint="eastAsia" w:ascii="仿宋_GB2312" w:eastAsia="仿宋_GB2312"/>
          <w:szCs w:val="32"/>
        </w:rPr>
        <w:t>耕地“非粮化”清退（不限于林果业清退、</w:t>
      </w:r>
      <w:r>
        <w:rPr>
          <w:rFonts w:ascii="仿宋_GB2312" w:eastAsia="仿宋_GB2312"/>
          <w:szCs w:val="32"/>
        </w:rPr>
        <w:t>撂荒耕地</w:t>
      </w:r>
      <w:r>
        <w:rPr>
          <w:rFonts w:hint="eastAsia" w:ascii="仿宋_GB2312" w:eastAsia="仿宋_GB2312"/>
          <w:szCs w:val="32"/>
        </w:rPr>
        <w:t>整治等）、遥感测量样本调查点和已征未利用地等面积</w:t>
      </w:r>
      <w:r>
        <w:rPr>
          <w:rFonts w:ascii="仿宋_GB2312" w:eastAsia="仿宋_GB2312"/>
          <w:szCs w:val="32"/>
        </w:rPr>
        <w:t>实施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。</w:t>
      </w:r>
    </w:p>
    <w:p w14:paraId="4DA05A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三、实施内容和期限</w:t>
      </w:r>
    </w:p>
    <w:p w14:paraId="018F0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（一）实施内容。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年全区开展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sz w:val="32"/>
          <w:szCs w:val="32"/>
        </w:rPr>
        <w:t>轮作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面积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2364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亩，</w:t>
      </w:r>
      <w:r>
        <w:rPr>
          <w:rFonts w:hint="eastAsia" w:ascii="仿宋_GB2312" w:hAnsi="仿宋" w:eastAsia="仿宋_GB2312" w:cs="宋体"/>
          <w:color w:val="000000"/>
          <w:kern w:val="0"/>
          <w:szCs w:val="32"/>
          <w:lang w:val="en-US" w:eastAsia="zh-CN"/>
        </w:rPr>
        <w:t>其中稻稻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紫云英面积不少于1400亩。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探索建立适合我区的耕地轮作制度，集成采用“双季稻+冬种油菜”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双季稻+冬种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紫云英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的水旱轮作、用地养地相结合生态种植技术模式，不断提升土壤肥力和耕地质量等级，调优耕作制度，改善生态环境，确保农业可持续发展能力进一步增强。</w:t>
      </w:r>
    </w:p>
    <w:p w14:paraId="00FBF40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方正小标宋简体"/>
          <w:color w:val="000000" w:themeColor="text1"/>
          <w:kern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（二）实施期限。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年晚稻开始，至冬种收获轮作周期结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束。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宋体"/>
          <w:kern w:val="0"/>
          <w:szCs w:val="32"/>
        </w:rPr>
        <w:t>年8月至2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年3月）</w:t>
      </w:r>
    </w:p>
    <w:p w14:paraId="3190DF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四、示范区域和</w:t>
      </w:r>
      <w:r>
        <w:rPr>
          <w:rFonts w:hint="eastAsia" w:ascii="黑体" w:hAnsi="黑体" w:eastAsia="黑体" w:cs="黑体"/>
          <w:bCs/>
          <w:color w:val="000000"/>
          <w:kern w:val="0"/>
          <w:szCs w:val="32"/>
          <w:lang w:val="en-US" w:eastAsia="zh-CN"/>
        </w:rPr>
        <w:t>申报条件</w:t>
      </w:r>
    </w:p>
    <w:p w14:paraId="2E1131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（一）示范区域。</w:t>
      </w:r>
      <w:r>
        <w:rPr>
          <w:rFonts w:hint="eastAsia" w:ascii="仿宋_GB2312" w:hAnsi="仿宋" w:eastAsia="仿宋_GB2312" w:cs="宋体"/>
          <w:kern w:val="0"/>
          <w:szCs w:val="32"/>
        </w:rPr>
        <w:t>按本《方案》的技术路线要求，各镇（街）组织辖区村委会发动有关农民积极参与，镇（街）农业农村办公室（下称农办）做好《202</w:t>
      </w:r>
      <w:r>
        <w:rPr>
          <w:rFonts w:hint="eastAsia" w:ascii="仿宋_GB2312" w:hAnsi="仿宋" w:eastAsia="仿宋_GB2312" w:cs="宋体"/>
          <w:kern w:val="0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Cs w:val="32"/>
        </w:rPr>
        <w:t>年新会区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sz w:val="32"/>
          <w:szCs w:val="32"/>
        </w:rPr>
        <w:t>轮作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</w:t>
      </w:r>
      <w:r>
        <w:rPr>
          <w:rFonts w:hint="eastAsia" w:ascii="仿宋_GB2312" w:hAnsi="仿宋" w:eastAsia="仿宋_GB2312" w:cs="宋体"/>
          <w:kern w:val="0"/>
          <w:szCs w:val="32"/>
        </w:rPr>
        <w:t>项目登记清册》（详见附件1）；各镇（街）农办在本辖区202</w:t>
      </w:r>
      <w:r>
        <w:rPr>
          <w:rFonts w:hint="eastAsia" w:ascii="仿宋_GB2312" w:hAnsi="仿宋" w:eastAsia="仿宋_GB2312" w:cs="宋体"/>
          <w:kern w:val="0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Cs w:val="32"/>
        </w:rPr>
        <w:t>年双季稻作范围内，遴选有一定基础和工作积极性较高、适合冬种油菜</w:t>
      </w:r>
      <w:r>
        <w:rPr>
          <w:rFonts w:hint="eastAsia" w:ascii="仿宋_GB2312" w:hAnsi="仿宋" w:eastAsia="仿宋_GB2312" w:cs="宋体"/>
          <w:kern w:val="0"/>
          <w:szCs w:val="32"/>
          <w:lang w:val="en-US" w:eastAsia="zh-CN"/>
        </w:rPr>
        <w:t>或冬种紫云英</w:t>
      </w:r>
      <w:r>
        <w:rPr>
          <w:rFonts w:hint="eastAsia" w:ascii="仿宋_GB2312" w:hAnsi="仿宋" w:eastAsia="仿宋_GB2312" w:cs="宋体"/>
          <w:kern w:val="0"/>
          <w:szCs w:val="32"/>
        </w:rPr>
        <w:t>，排灌方便的示范村，经镇、村二级公示（5天）无异议后，于202</w:t>
      </w:r>
      <w:r>
        <w:rPr>
          <w:rFonts w:hint="eastAsia" w:ascii="仿宋_GB2312" w:hAnsi="仿宋" w:eastAsia="仿宋_GB2312" w:cs="宋体"/>
          <w:kern w:val="0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Cs w:val="32"/>
        </w:rPr>
        <w:t>年</w:t>
      </w:r>
      <w:r>
        <w:rPr>
          <w:rFonts w:hint="eastAsia" w:ascii="仿宋_GB2312" w:hAnsi="仿宋" w:eastAsia="仿宋_GB2312" w:cs="宋体"/>
          <w:kern w:val="0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" w:eastAsia="仿宋_GB2312" w:cs="宋体"/>
          <w:kern w:val="0"/>
          <w:szCs w:val="32"/>
          <w:highlight w:val="none"/>
        </w:rPr>
        <w:t>月</w:t>
      </w:r>
      <w:r>
        <w:rPr>
          <w:rFonts w:hint="eastAsia" w:ascii="仿宋_GB2312" w:hAnsi="仿宋" w:eastAsia="仿宋_GB2312" w:cs="宋体"/>
          <w:kern w:val="0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" w:eastAsia="仿宋_GB2312" w:cs="宋体"/>
          <w:kern w:val="0"/>
          <w:szCs w:val="32"/>
          <w:highlight w:val="none"/>
        </w:rPr>
        <w:t>日</w:t>
      </w:r>
      <w:r>
        <w:rPr>
          <w:rFonts w:hint="eastAsia" w:ascii="仿宋_GB2312" w:hAnsi="仿宋" w:eastAsia="仿宋_GB2312" w:cs="宋体"/>
          <w:kern w:val="0"/>
          <w:szCs w:val="32"/>
        </w:rPr>
        <w:t>前向区农业农村局推荐（含附件1、2、3以及公示照片）；区农业农村局依据各镇（街）农办的遴选报送情况，按照“整村整镇推进”原则，以及镇（街）示范面积由大到小优先确定全区的实施镇（街）、村（下称实施区域），并在新会区政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府信息公开平台公开公示确定结果（7个工作日）。</w:t>
      </w:r>
    </w:p>
    <w:p w14:paraId="572396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lang w:val="en-US" w:eastAsia="zh-CN"/>
        </w:rPr>
        <w:t>申报条件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。</w:t>
      </w:r>
    </w:p>
    <w:p w14:paraId="7A0B08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优先安排</w:t>
      </w:r>
      <w:r>
        <w:rPr>
          <w:rStyle w:val="8"/>
          <w:rFonts w:hint="eastAsia" w:ascii="仿宋_GB2312" w:eastAsia="仿宋_GB2312"/>
          <w:lang w:val="en-US" w:eastAsia="zh-CN"/>
        </w:rPr>
        <w:t>家庭农场、种植大户、专业合作社、农业龙头企业等新型经营主体或整镇整村实施；</w:t>
      </w:r>
    </w:p>
    <w:p w14:paraId="2F6854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2.我区15个水稻遥感测量样本调查点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种植水稻的；</w:t>
      </w:r>
    </w:p>
    <w:p w14:paraId="31E9ADD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Style w:val="8"/>
          <w:rFonts w:hint="eastAsia" w:ascii="仿宋_GB2312" w:eastAsia="仿宋_GB2312" w:cs="Times New Roman"/>
          <w:kern w:val="2"/>
          <w:lang w:val="en-US" w:eastAsia="zh-CN" w:bidi="ar-SA"/>
        </w:rPr>
        <w:t>耕地“非粮化”清退面积（不限于林果业清退、撂荒耕地整治等）；</w:t>
      </w:r>
    </w:p>
    <w:p w14:paraId="513266C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4.每个实施区域连片实施面积不小于（含）10亩。</w:t>
      </w:r>
    </w:p>
    <w:p w14:paraId="2BA9E8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五、实施主体和方式</w:t>
      </w:r>
    </w:p>
    <w:p w14:paraId="10114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cs="宋体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（一）实施主体。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实施区域镇（街）农办为实施主体。</w:t>
      </w:r>
    </w:p>
    <w:p w14:paraId="12B14C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（二）实施方式。</w:t>
      </w:r>
    </w:p>
    <w:p w14:paraId="15131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Cs w:val="32"/>
        </w:rPr>
        <w:t>1</w:t>
      </w:r>
      <w:r>
        <w:rPr>
          <w:rFonts w:hint="eastAsia" w:ascii="仿宋_GB2312" w:hAnsi="仿宋" w:eastAsia="仿宋_GB2312" w:cs="宋体"/>
          <w:b/>
          <w:color w:val="000000"/>
          <w:kern w:val="0"/>
          <w:szCs w:val="32"/>
          <w:lang w:val="en-US" w:eastAsia="zh-CN"/>
        </w:rPr>
        <w:t>.</w:t>
      </w:r>
      <w:r>
        <w:rPr>
          <w:rFonts w:hint="eastAsia" w:ascii="仿宋_GB2312" w:hAnsi="仿宋" w:eastAsia="仿宋_GB2312" w:cs="宋体"/>
          <w:b/>
          <w:color w:val="000000"/>
          <w:kern w:val="0"/>
          <w:szCs w:val="32"/>
        </w:rPr>
        <w:t>开展社会化服务。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由区农业农村局</w:t>
      </w:r>
      <w:r>
        <w:rPr>
          <w:rFonts w:hint="eastAsia" w:ascii="仿宋_GB2312" w:hAnsi="仿宋" w:eastAsia="仿宋_GB2312" w:cs="仿宋"/>
          <w:color w:val="000000"/>
          <w:kern w:val="0"/>
          <w:szCs w:val="32"/>
        </w:rPr>
        <w:t>按政府采购管理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规定，确定一个中标供应商对开展轮作的冬种油菜</w:t>
      </w:r>
      <w:r>
        <w:rPr>
          <w:rFonts w:hint="eastAsia" w:ascii="仿宋_GB2312" w:hAnsi="仿宋" w:eastAsia="仿宋_GB2312" w:cs="宋体"/>
          <w:color w:val="000000"/>
          <w:kern w:val="0"/>
          <w:szCs w:val="32"/>
          <w:lang w:val="en-US" w:eastAsia="zh-CN"/>
        </w:rPr>
        <w:t>或冬种紫云英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面积播种、施肥、建立台账、技术指导、宣传培训、效益评估、满意度调查、总结审计验收等社会化服务。（具体的物化补助标准见附件4并以区农业农村局确定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Cs w:val="32"/>
        </w:rPr>
        <w:t>的实施面积和采购结果而定）</w:t>
      </w:r>
    </w:p>
    <w:p w14:paraId="4C56FB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" w:eastAsia="仿宋_GB2312" w:cs="宋体"/>
          <w:b/>
          <w:kern w:val="0"/>
          <w:szCs w:val="32"/>
        </w:rPr>
        <w:t>2</w:t>
      </w:r>
      <w:r>
        <w:rPr>
          <w:rFonts w:hint="eastAsia" w:ascii="仿宋_GB2312" w:hAnsi="仿宋" w:eastAsia="仿宋_GB2312" w:cs="宋体"/>
          <w:b/>
          <w:kern w:val="0"/>
          <w:szCs w:val="32"/>
          <w:lang w:val="en-US" w:eastAsia="zh-CN"/>
        </w:rPr>
        <w:t>.</w:t>
      </w:r>
      <w:r>
        <w:rPr>
          <w:rFonts w:hint="eastAsia" w:ascii="仿宋_GB2312" w:hAnsi="仿宋" w:eastAsia="仿宋_GB2312" w:cs="宋体"/>
          <w:b/>
          <w:kern w:val="0"/>
          <w:szCs w:val="32"/>
        </w:rPr>
        <w:t>镇（街）农办组织村与农民积极实施。</w:t>
      </w:r>
      <w:r>
        <w:rPr>
          <w:rFonts w:hint="eastAsia" w:ascii="仿宋_GB2312" w:hAnsi="仿宋_GB2312" w:eastAsia="仿宋_GB2312" w:cs="仿宋_GB2312"/>
          <w:kern w:val="0"/>
          <w:szCs w:val="32"/>
        </w:rPr>
        <w:t>早、晚稻由农民种植收获；在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冬种油菜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/>
        </w:rPr>
        <w:t>或冬种紫云英</w:t>
      </w:r>
      <w:r>
        <w:rPr>
          <w:rFonts w:hint="eastAsia" w:ascii="仿宋_GB2312" w:hAnsi="仿宋_GB2312" w:eastAsia="仿宋_GB2312" w:cs="仿宋_GB2312"/>
          <w:kern w:val="0"/>
          <w:szCs w:val="32"/>
        </w:rPr>
        <w:t>过程中，镇（街）农办要组织各实施村和农民按技术指导要求，积极做好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开沟、管水、追肥、病虫害防控和采收</w:t>
      </w:r>
      <w:r>
        <w:rPr>
          <w:rFonts w:hint="eastAsia" w:ascii="仿宋_GB2312" w:hAnsi="仿宋_GB2312" w:eastAsia="仿宋_GB2312" w:cs="仿宋_GB2312"/>
          <w:kern w:val="0"/>
          <w:szCs w:val="32"/>
        </w:rPr>
        <w:t>等工作。</w:t>
      </w:r>
    </w:p>
    <w:p w14:paraId="63C97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六、补助方式</w:t>
      </w:r>
    </w:p>
    <w:p w14:paraId="70D3EA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（一）资金规模。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市下达我区202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年中央耕地建设与利用资金（耕地轮作休耕）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35.46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万元（约束性任务）。</w:t>
      </w:r>
    </w:p>
    <w:p w14:paraId="401708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（二）补助方式。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按本项目的《社会化服务合同》条款和进度，由区农业农村局报请</w:t>
      </w:r>
      <w:r>
        <w:rPr>
          <w:rFonts w:hint="eastAsia" w:ascii="仿宋_GB2312" w:hAnsi="仿宋" w:eastAsia="仿宋_GB2312" w:cs="仿宋"/>
          <w:color w:val="000000"/>
          <w:kern w:val="0"/>
          <w:szCs w:val="32"/>
        </w:rPr>
        <w:t>区财政局将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补助资金</w:t>
      </w:r>
      <w:r>
        <w:rPr>
          <w:rFonts w:hint="eastAsia" w:ascii="仿宋_GB2312" w:hAnsi="仿宋" w:eastAsia="仿宋_GB2312" w:cs="宋体"/>
          <w:color w:val="auto"/>
          <w:kern w:val="0"/>
          <w:szCs w:val="32"/>
          <w:highlight w:val="none"/>
          <w:lang w:eastAsia="zh-CN"/>
        </w:rPr>
        <w:t>拨付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给</w:t>
      </w:r>
      <w:r>
        <w:rPr>
          <w:rFonts w:hint="eastAsia" w:ascii="仿宋_GB2312" w:hAnsi="仿宋" w:eastAsia="仿宋_GB2312" w:cs="仿宋"/>
          <w:color w:val="000000"/>
          <w:kern w:val="0"/>
          <w:szCs w:val="32"/>
        </w:rPr>
        <w:t>中标供应商。</w:t>
      </w:r>
    </w:p>
    <w:p w14:paraId="1A125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七、工作要求和保障措施</w:t>
      </w:r>
    </w:p>
    <w:p w14:paraId="77239D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（一）加强组织领导。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成立以区农业农村局局长为组长，相关单位为成员</w:t>
      </w:r>
      <w:r>
        <w:rPr>
          <w:rFonts w:hint="eastAsia" w:ascii="仿宋_GB2312" w:hAnsi="仿宋" w:eastAsia="仿宋_GB2312" w:cs="宋体"/>
          <w:color w:val="000000"/>
          <w:kern w:val="0"/>
          <w:szCs w:val="32"/>
          <w:lang w:eastAsia="zh-CN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项目领导工作小组，全面落实实施方案任务和要求，保障工作有序开展、取得实效。</w:t>
      </w:r>
    </w:p>
    <w:p w14:paraId="20B96F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（二）细化实化任务。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层层落实责任，</w:t>
      </w:r>
      <w:r>
        <w:rPr>
          <w:rFonts w:hint="eastAsia" w:ascii="仿宋_GB2312" w:hAnsi="仿宋" w:eastAsia="仿宋_GB2312" w:cs="宋体"/>
          <w:kern w:val="0"/>
          <w:szCs w:val="32"/>
        </w:rPr>
        <w:t>实施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区域镇（街）农办与实施村（含农民）签</w:t>
      </w:r>
      <w:r>
        <w:rPr>
          <w:rFonts w:hint="eastAsia" w:ascii="仿宋_GB2312" w:hAnsi="仿宋" w:eastAsia="仿宋_GB2312" w:cs="宋体"/>
          <w:kern w:val="0"/>
          <w:szCs w:val="32"/>
        </w:rPr>
        <w:t>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sz w:val="32"/>
          <w:szCs w:val="32"/>
        </w:rPr>
        <w:t>轮作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</w:t>
      </w:r>
      <w:r>
        <w:rPr>
          <w:rFonts w:hint="eastAsia" w:ascii="仿宋_GB2312" w:hAnsi="仿宋" w:eastAsia="仿宋_GB2312" w:cs="宋体"/>
          <w:kern w:val="0"/>
          <w:szCs w:val="32"/>
        </w:rPr>
        <w:t>项目协议（详见附件3），明确相关权利、责任和义务，保障工作规范有序开展。</w:t>
      </w:r>
    </w:p>
    <w:p w14:paraId="273CD9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（三）加强指导督查。</w:t>
      </w:r>
      <w:r>
        <w:rPr>
          <w:rFonts w:hint="eastAsia" w:ascii="仿宋_GB2312" w:hAnsi="仿宋" w:eastAsia="仿宋_GB2312" w:cs="宋体"/>
          <w:kern w:val="0"/>
          <w:sz w:val="30"/>
          <w:szCs w:val="30"/>
        </w:rPr>
        <w:t>区农业农村局、实施区域农办和中标供应商强化技术指导服务；区农业农村局和区财政局联合加强督导检查。实施区域的镇（街）要做好村、农民配合中标供应商的协调工作。</w:t>
      </w:r>
    </w:p>
    <w:p w14:paraId="7AD689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（四）搞好总结宣传。</w:t>
      </w:r>
      <w:r>
        <w:rPr>
          <w:rFonts w:hint="eastAsia" w:ascii="仿宋_GB2312" w:hAnsi="仿宋" w:eastAsia="仿宋_GB2312" w:cs="宋体"/>
          <w:kern w:val="0"/>
          <w:szCs w:val="32"/>
        </w:rPr>
        <w:t>充分利用广播、电视、网络等媒体，宣传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sz w:val="32"/>
          <w:szCs w:val="32"/>
        </w:rPr>
        <w:t>轮作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</w:t>
      </w:r>
      <w:r>
        <w:rPr>
          <w:rFonts w:hint="eastAsia" w:ascii="仿宋_GB2312" w:hAnsi="仿宋" w:eastAsia="仿宋_GB2312" w:cs="宋体"/>
          <w:kern w:val="0"/>
          <w:szCs w:val="32"/>
        </w:rPr>
        <w:t>的重要意义和有关要求，引导社会各界关注支持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sz w:val="32"/>
          <w:szCs w:val="32"/>
        </w:rPr>
        <w:t>轮作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</w:t>
      </w:r>
      <w:r>
        <w:rPr>
          <w:rFonts w:hint="eastAsia" w:ascii="仿宋_GB2312" w:hAnsi="仿宋" w:eastAsia="仿宋_GB2312" w:cs="宋体"/>
          <w:kern w:val="0"/>
          <w:szCs w:val="32"/>
        </w:rPr>
        <w:t>项目工作。通过现场观摩、经验交流、典型示范等方式，宣传有关成效，营造良好舆论氛围。</w:t>
      </w:r>
    </w:p>
    <w:p w14:paraId="59FC686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方正小标宋简体"/>
          <w:kern w:val="36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（五）报送情况。</w:t>
      </w:r>
      <w:r>
        <w:rPr>
          <w:rFonts w:hint="eastAsia" w:ascii="仿宋_GB2312" w:hAnsi="仿宋" w:eastAsia="仿宋_GB2312" w:cs="方正小标宋简体"/>
          <w:kern w:val="36"/>
          <w:szCs w:val="32"/>
        </w:rPr>
        <w:t>认真总结项目实施</w:t>
      </w:r>
      <w:r>
        <w:rPr>
          <w:rFonts w:hint="eastAsia" w:ascii="仿宋_GB2312" w:hAnsi="仿宋" w:eastAsia="仿宋_GB2312" w:cs="宋体"/>
          <w:kern w:val="0"/>
          <w:szCs w:val="32"/>
        </w:rPr>
        <w:t>情况，由区农业农村局按时向上级农业农村部门报送行</w:t>
      </w:r>
      <w:r>
        <w:rPr>
          <w:rFonts w:hint="eastAsia" w:ascii="仿宋_GB2312" w:hAnsi="仿宋" w:eastAsia="仿宋_GB2312" w:cs="方正小标宋简体"/>
          <w:kern w:val="36"/>
          <w:szCs w:val="32"/>
        </w:rPr>
        <w:t>动进度和总结。</w:t>
      </w:r>
    </w:p>
    <w:p w14:paraId="5D35E0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（六）做好验收。</w:t>
      </w:r>
      <w:r>
        <w:rPr>
          <w:rFonts w:hint="eastAsia" w:ascii="仿宋_GB2312" w:hAnsi="仿宋" w:eastAsia="仿宋_GB2312" w:cs="仿宋"/>
          <w:kern w:val="0"/>
          <w:szCs w:val="32"/>
        </w:rPr>
        <w:t>中标供应商</w:t>
      </w:r>
      <w:r>
        <w:rPr>
          <w:rFonts w:hint="eastAsia" w:ascii="仿宋_GB2312" w:hAnsi="仿宋" w:eastAsia="仿宋_GB2312" w:cs="宋体"/>
          <w:kern w:val="0"/>
          <w:szCs w:val="32"/>
        </w:rPr>
        <w:t>于202</w:t>
      </w:r>
      <w:r>
        <w:rPr>
          <w:rFonts w:hint="eastAsia" w:ascii="仿宋_GB2312" w:hAnsi="仿宋" w:eastAsia="仿宋_GB2312" w:cs="宋体"/>
          <w:kern w:val="0"/>
          <w:szCs w:val="32"/>
          <w:lang w:val="en-US" w:eastAsia="zh-CN"/>
        </w:rPr>
        <w:t>6</w:t>
      </w:r>
      <w:r>
        <w:rPr>
          <w:rFonts w:hint="eastAsia" w:ascii="仿宋_GB2312" w:hAnsi="仿宋" w:eastAsia="仿宋_GB2312" w:cs="宋体"/>
          <w:kern w:val="0"/>
          <w:szCs w:val="32"/>
        </w:rPr>
        <w:t>年3月底前完成项目，并</w:t>
      </w:r>
      <w:r>
        <w:rPr>
          <w:rFonts w:hint="eastAsia" w:ascii="仿宋_GB2312" w:hAnsi="仿宋" w:eastAsia="仿宋_GB2312" w:cs="仿宋"/>
          <w:kern w:val="0"/>
          <w:szCs w:val="32"/>
        </w:rPr>
        <w:t>向区农业农村局提出区级验收申请，</w:t>
      </w:r>
      <w:r>
        <w:rPr>
          <w:rFonts w:hint="eastAsia" w:ascii="仿宋_GB2312" w:hAnsi="仿宋" w:eastAsia="仿宋_GB2312" w:cs="宋体"/>
          <w:kern w:val="0"/>
          <w:szCs w:val="32"/>
        </w:rPr>
        <w:t>区农业农村局组织种植和会计专业类，具中级（含）以上专业技术职称资格的3名专家进行验收。</w:t>
      </w:r>
    </w:p>
    <w:p w14:paraId="469F5A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</w:p>
    <w:p w14:paraId="05EEF2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200" w:hanging="1280" w:hangingChars="4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>附件：1.202</w:t>
      </w:r>
      <w:r>
        <w:rPr>
          <w:rFonts w:hint="eastAsia" w:ascii="仿宋_GB2312" w:hAnsi="仿宋" w:eastAsia="仿宋_GB2312" w:cs="宋体"/>
          <w:kern w:val="0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Cs w:val="32"/>
        </w:rPr>
        <w:t>年新会区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sz w:val="32"/>
          <w:szCs w:val="32"/>
        </w:rPr>
        <w:t>轮作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</w:t>
      </w:r>
      <w:r>
        <w:rPr>
          <w:rFonts w:hint="eastAsia" w:ascii="仿宋_GB2312" w:hAnsi="仿宋" w:eastAsia="仿宋_GB2312" w:cs="宋体"/>
          <w:kern w:val="0"/>
          <w:szCs w:val="32"/>
        </w:rPr>
        <w:t>项目登记清册</w:t>
      </w:r>
    </w:p>
    <w:p w14:paraId="572AA2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500" w:hanging="320" w:hangingChars="1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>2.202</w:t>
      </w:r>
      <w:r>
        <w:rPr>
          <w:rFonts w:hint="eastAsia" w:ascii="仿宋_GB2312" w:hAnsi="仿宋" w:eastAsia="仿宋_GB2312" w:cs="宋体"/>
          <w:kern w:val="0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Cs w:val="32"/>
        </w:rPr>
        <w:t>年新会区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sz w:val="32"/>
          <w:szCs w:val="32"/>
        </w:rPr>
        <w:t>轮作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</w:t>
      </w:r>
      <w:r>
        <w:rPr>
          <w:rFonts w:hint="eastAsia" w:ascii="仿宋_GB2312" w:hAnsi="仿宋" w:eastAsia="仿宋_GB2312" w:cs="宋体"/>
          <w:kern w:val="0"/>
          <w:szCs w:val="32"/>
        </w:rPr>
        <w:t>项目实施村遴选推荐表</w:t>
      </w:r>
    </w:p>
    <w:p w14:paraId="2BCC61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200" w:hanging="1280" w:hangingChars="4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 xml:space="preserve">      3.新会区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sz w:val="32"/>
          <w:szCs w:val="32"/>
        </w:rPr>
        <w:t>轮作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</w:t>
      </w:r>
      <w:r>
        <w:rPr>
          <w:rFonts w:hint="eastAsia" w:ascii="仿宋_GB2312" w:hAnsi="仿宋" w:eastAsia="仿宋_GB2312" w:cs="宋体"/>
          <w:kern w:val="0"/>
          <w:szCs w:val="32"/>
        </w:rPr>
        <w:t>项目协议（参考样本）</w:t>
      </w:r>
    </w:p>
    <w:p w14:paraId="1BA1AB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200" w:hanging="1280" w:hangingChars="400"/>
        <w:textAlignment w:val="auto"/>
      </w:pPr>
      <w:r>
        <w:rPr>
          <w:rFonts w:hint="eastAsia" w:ascii="仿宋_GB2312" w:hAnsi="仿宋" w:eastAsia="仿宋_GB2312" w:cs="宋体"/>
          <w:kern w:val="0"/>
          <w:szCs w:val="32"/>
        </w:rPr>
        <w:t xml:space="preserve">      4.202</w:t>
      </w:r>
      <w:r>
        <w:rPr>
          <w:rFonts w:hint="eastAsia" w:ascii="仿宋_GB2312" w:hAnsi="仿宋" w:eastAsia="仿宋_GB2312" w:cs="宋体"/>
          <w:kern w:val="0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Cs w:val="32"/>
        </w:rPr>
        <w:t>年新会区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sz w:val="32"/>
          <w:szCs w:val="32"/>
        </w:rPr>
        <w:t>轮作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</w:t>
      </w:r>
      <w:r>
        <w:rPr>
          <w:rFonts w:hint="eastAsia" w:ascii="仿宋_GB2312" w:hAnsi="仿宋" w:eastAsia="仿宋_GB2312" w:cs="宋体"/>
          <w:kern w:val="0"/>
          <w:szCs w:val="32"/>
        </w:rPr>
        <w:t>项目社会化服务</w:t>
      </w:r>
    </w:p>
    <w:sectPr>
      <w:headerReference r:id="rId3" w:type="default"/>
      <w:footerReference r:id="rId4" w:type="default"/>
      <w:pgSz w:w="11906" w:h="16838"/>
      <w:pgMar w:top="1701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.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AFD9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6865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B2D8C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24.9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5ojQPtEAAAADAQAADwAAAAAAAAABACAAAAAiAAAAZHJzL2Rv&#10;d25yZXYueG1sUEsBAhQAFAAAAAgAh07iQKzYbX3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FB2D8C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15071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C36A4"/>
    <w:rsid w:val="2F8C36A4"/>
    <w:rsid w:val="6AC3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3">
    <w:name w:val="annotation text"/>
    <w:basedOn w:val="1"/>
    <w:qFormat/>
    <w:uiPriority w:val="0"/>
    <w:pPr>
      <w:jc w:val="left"/>
    </w:pPr>
    <w:rPr>
      <w:rFonts w:ascii="Calibri" w:hAnsi="Calibri" w:eastAsia="宋体"/>
      <w:sz w:val="21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style01"/>
    <w:basedOn w:val="7"/>
    <w:qFormat/>
    <w:uiPriority w:val="0"/>
    <w:rPr>
      <w:rFonts w:hint="default" w:ascii="FangSong.GB2312" w:hAnsi="FangSong.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2025-09-15T02:07:00Z</dcterms:created>
  <dc:creator>猫</dc:creator>
  <cp:lastModifiedBy>猫</cp:lastModifiedBy>
  <dcterms:modified xsi:type="dcterms:W3CDTF">2025-09-15T02:23:04Z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315B4F05BA78454C8C95518B97D301FE_11</vt:lpwstr>
  </property>
  <property fmtid="{D5CDD505-2E9C-101B-9397-08002B2CF9AE}" pid="4" name="KSOTemplateDocerSaveRecord">
    <vt:lpwstr>eyJoZGlkIjoiMTMyNjI0MTdkODE3MGVjMGMzNzIwZTViYWRjNmUyYmIiLCJ1c2VySWQiOiIzMDc4MzYzNTcifQ==</vt:lpwstr>
  </property>
</Properties>
</file>