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4F1" w14:textId="77777777" w:rsidR="00A25838" w:rsidRDefault="00A25838">
      <w:pPr>
        <w:tabs>
          <w:tab w:val="center" w:pos="4536"/>
          <w:tab w:val="right" w:pos="9072"/>
        </w:tabs>
        <w:spacing w:line="700" w:lineRule="exact"/>
        <w:contextualSpacing/>
        <w:jc w:val="left"/>
        <w:rPr>
          <w:rFonts w:ascii="宋体" w:eastAsia="宋体" w:hAnsi="宋体"/>
          <w:b/>
          <w:bCs/>
          <w:kern w:val="0"/>
          <w:sz w:val="44"/>
        </w:rPr>
      </w:pPr>
    </w:p>
    <w:p w14:paraId="0D0EAB7F" w14:textId="77777777" w:rsidR="00A25838" w:rsidRDefault="00983801">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hint="eastAsia"/>
          <w:kern w:val="0"/>
        </w:rPr>
        <w:t>2</w:t>
      </w:r>
      <w:r>
        <w:rPr>
          <w:rFonts w:hint="eastAsia"/>
          <w:kern w:val="0"/>
        </w:rPr>
        <w:t>号</w:t>
      </w:r>
    </w:p>
    <w:p w14:paraId="4653FB15" w14:textId="77777777" w:rsidR="00A25838" w:rsidRDefault="00A25838">
      <w:pPr>
        <w:spacing w:line="560" w:lineRule="exact"/>
        <w:ind w:right="468"/>
        <w:contextualSpacing/>
        <w:jc w:val="left"/>
        <w:rPr>
          <w:rFonts w:ascii="仿宋_GB2312"/>
          <w:kern w:val="0"/>
          <w:sz w:val="44"/>
          <w:szCs w:val="44"/>
        </w:rPr>
      </w:pPr>
    </w:p>
    <w:p w14:paraId="4B4ECFA7" w14:textId="77777777" w:rsidR="00A25838" w:rsidRDefault="00983801">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14:paraId="46B050C0" w14:textId="77777777" w:rsidR="00A25838" w:rsidRDefault="00A25838" w:rsidP="0059631E">
      <w:pPr>
        <w:spacing w:line="560" w:lineRule="exact"/>
        <w:ind w:left="1727" w:hangingChars="400" w:hanging="1727"/>
        <w:contextualSpacing/>
        <w:rPr>
          <w:rFonts w:ascii="仿宋_GB2312"/>
          <w:sz w:val="44"/>
          <w:szCs w:val="44"/>
        </w:rPr>
      </w:pPr>
    </w:p>
    <w:p w14:paraId="6590265E" w14:textId="77777777" w:rsidR="00A25838" w:rsidRDefault="00983801">
      <w:pPr>
        <w:spacing w:line="540" w:lineRule="exact"/>
        <w:ind w:firstLineChars="200" w:firstLine="624"/>
        <w:rPr>
          <w:rFonts w:ascii="仿宋_GB2312"/>
          <w:szCs w:val="32"/>
        </w:rPr>
      </w:pPr>
      <w:r>
        <w:rPr>
          <w:rFonts w:ascii="仿宋_GB2312" w:hint="eastAsia"/>
          <w:szCs w:val="32"/>
        </w:rPr>
        <w:t>当事人：</w:t>
      </w:r>
      <w:proofErr w:type="gramStart"/>
      <w:r>
        <w:rPr>
          <w:rFonts w:ascii="仿宋_GB2312" w:hint="eastAsia"/>
          <w:szCs w:val="32"/>
        </w:rPr>
        <w:t>广东省佰兴检测</w:t>
      </w:r>
      <w:proofErr w:type="gramEnd"/>
      <w:r>
        <w:rPr>
          <w:rFonts w:ascii="仿宋_GB2312" w:hint="eastAsia"/>
          <w:szCs w:val="32"/>
        </w:rPr>
        <w:t>技术有限公司</w:t>
      </w:r>
    </w:p>
    <w:p w14:paraId="15BEF121" w14:textId="77777777" w:rsidR="00A25838" w:rsidRDefault="00983801" w:rsidP="0059631E">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91440700MA56BGEN2R</w:t>
      </w:r>
    </w:p>
    <w:p w14:paraId="61ABD7E8" w14:textId="77777777" w:rsidR="00A25838" w:rsidRDefault="00983801">
      <w:pPr>
        <w:spacing w:line="540" w:lineRule="exact"/>
        <w:ind w:firstLineChars="200" w:firstLine="624"/>
        <w:rPr>
          <w:rFonts w:ascii="仿宋_GB2312"/>
          <w:szCs w:val="32"/>
        </w:rPr>
      </w:pPr>
      <w:r>
        <w:rPr>
          <w:rFonts w:ascii="仿宋_GB2312" w:hint="eastAsia"/>
          <w:szCs w:val="32"/>
        </w:rPr>
        <w:t>经营场所：</w:t>
      </w:r>
      <w:r>
        <w:rPr>
          <w:rFonts w:ascii="仿宋_GB2312" w:hint="eastAsia"/>
          <w:szCs w:val="32"/>
        </w:rPr>
        <w:t>江门市</w:t>
      </w:r>
      <w:r>
        <w:rPr>
          <w:rFonts w:ascii="仿宋_GB2312" w:hint="eastAsia"/>
          <w:szCs w:val="32"/>
        </w:rPr>
        <w:t>蓬江</w:t>
      </w:r>
      <w:r>
        <w:rPr>
          <w:rFonts w:ascii="仿宋_GB2312" w:hint="eastAsia"/>
          <w:szCs w:val="32"/>
        </w:rPr>
        <w:t>区</w:t>
      </w:r>
      <w:r>
        <w:rPr>
          <w:rFonts w:ascii="仿宋_GB2312" w:hint="eastAsia"/>
          <w:szCs w:val="32"/>
        </w:rPr>
        <w:t>江门大道中</w:t>
      </w:r>
      <w:r>
        <w:rPr>
          <w:rFonts w:hint="eastAsia"/>
          <w:kern w:val="0"/>
        </w:rPr>
        <w:t>898</w:t>
      </w:r>
      <w:r>
        <w:rPr>
          <w:rFonts w:ascii="仿宋_GB2312" w:hint="eastAsia"/>
          <w:szCs w:val="32"/>
        </w:rPr>
        <w:t>号</w:t>
      </w:r>
      <w:r>
        <w:rPr>
          <w:rFonts w:hint="eastAsia"/>
          <w:kern w:val="0"/>
        </w:rPr>
        <w:t>2</w:t>
      </w:r>
      <w:r>
        <w:rPr>
          <w:rFonts w:ascii="仿宋_GB2312" w:hint="eastAsia"/>
          <w:szCs w:val="32"/>
        </w:rPr>
        <w:t>栋</w:t>
      </w:r>
      <w:r>
        <w:rPr>
          <w:rFonts w:hint="eastAsia"/>
          <w:kern w:val="0"/>
        </w:rPr>
        <w:t>1501</w:t>
      </w:r>
      <w:r>
        <w:rPr>
          <w:rFonts w:ascii="仿宋_GB2312" w:hint="eastAsia"/>
          <w:szCs w:val="32"/>
        </w:rPr>
        <w:t>室</w:t>
      </w:r>
    </w:p>
    <w:p w14:paraId="53BF3104" w14:textId="77777777" w:rsidR="00A25838" w:rsidRDefault="00983801" w:rsidP="0059631E">
      <w:pPr>
        <w:spacing w:line="540" w:lineRule="exact"/>
        <w:ind w:leftChars="200" w:left="1076" w:hangingChars="145" w:hanging="452"/>
        <w:rPr>
          <w:rFonts w:ascii="仿宋_GB2312"/>
          <w:szCs w:val="32"/>
        </w:rPr>
      </w:pPr>
      <w:r>
        <w:rPr>
          <w:rFonts w:ascii="仿宋_GB2312" w:hint="eastAsia"/>
          <w:szCs w:val="32"/>
        </w:rPr>
        <w:t>法定代表人：刘健升</w:t>
      </w:r>
    </w:p>
    <w:p w14:paraId="724E8AF1" w14:textId="77777777" w:rsidR="00A25838" w:rsidRDefault="00983801">
      <w:pPr>
        <w:spacing w:beforeLines="50" w:before="313" w:line="520" w:lineRule="exact"/>
        <w:ind w:firstLineChars="200" w:firstLine="624"/>
        <w:rPr>
          <w:rFonts w:ascii="仿宋" w:eastAsia="仿宋" w:hAnsi="仿宋" w:cs="仿宋"/>
          <w:szCs w:val="32"/>
        </w:rPr>
      </w:pPr>
      <w:proofErr w:type="gramStart"/>
      <w:r>
        <w:rPr>
          <w:rFonts w:ascii="仿宋_GB2312" w:hint="eastAsia"/>
          <w:szCs w:val="32"/>
        </w:rPr>
        <w:t>广东省佰兴检测</w:t>
      </w:r>
      <w:proofErr w:type="gramEnd"/>
      <w:r>
        <w:rPr>
          <w:rFonts w:ascii="仿宋_GB2312" w:hint="eastAsia"/>
          <w:szCs w:val="32"/>
        </w:rPr>
        <w:t>技术有限公司</w:t>
      </w:r>
      <w:r>
        <w:rPr>
          <w:rFonts w:ascii="仿宋" w:eastAsia="仿宋" w:hAnsi="仿宋" w:cs="仿宋" w:hint="eastAsia"/>
          <w:szCs w:val="32"/>
        </w:rPr>
        <w:t>环境违法一案，我局经过调查，现已审查终结。</w:t>
      </w:r>
    </w:p>
    <w:p w14:paraId="4514794E" w14:textId="77777777" w:rsidR="00A25838" w:rsidRDefault="00983801" w:rsidP="0059631E">
      <w:pPr>
        <w:spacing w:beforeLines="50" w:before="313"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0C297501" w14:textId="77777777" w:rsidR="00A25838" w:rsidRDefault="00983801">
      <w:pPr>
        <w:spacing w:line="520" w:lineRule="exact"/>
        <w:ind w:firstLineChars="200" w:firstLine="624"/>
        <w:rPr>
          <w:rFonts w:ascii="仿宋_GB2312" w:hAnsi="仿宋"/>
          <w:szCs w:val="32"/>
        </w:rPr>
      </w:pPr>
      <w:r>
        <w:rPr>
          <w:rFonts w:hint="eastAsia"/>
          <w:kern w:val="0"/>
        </w:rPr>
        <w:t>2025</w:t>
      </w:r>
      <w:r>
        <w:rPr>
          <w:rFonts w:ascii="仿宋_GB2312" w:hAnsi="宋体" w:hint="eastAsia"/>
          <w:szCs w:val="32"/>
        </w:rPr>
        <w:t>年</w:t>
      </w:r>
      <w:r>
        <w:rPr>
          <w:rFonts w:hint="eastAsia"/>
          <w:kern w:val="0"/>
        </w:rPr>
        <w:t>11</w:t>
      </w:r>
      <w:r>
        <w:rPr>
          <w:rFonts w:ascii="仿宋_GB2312" w:hAnsi="宋体" w:hint="eastAsia"/>
          <w:szCs w:val="32"/>
        </w:rPr>
        <w:t>月</w:t>
      </w:r>
      <w:r>
        <w:rPr>
          <w:rFonts w:ascii="仿宋_GB2312" w:hAnsi="宋体" w:hint="eastAsia"/>
          <w:szCs w:val="32"/>
        </w:rPr>
        <w:t>，我局执法人员对</w:t>
      </w:r>
      <w:r>
        <w:rPr>
          <w:rFonts w:ascii="仿宋_GB2312" w:hint="eastAsia"/>
          <w:szCs w:val="32"/>
        </w:rPr>
        <w:t>江门市新会区某公司（以下简称：某公司）</w:t>
      </w:r>
      <w:r>
        <w:rPr>
          <w:rFonts w:ascii="仿宋_GB2312" w:hint="eastAsia"/>
          <w:szCs w:val="32"/>
        </w:rPr>
        <w:t>进行检查</w:t>
      </w:r>
      <w:r>
        <w:rPr>
          <w:rFonts w:ascii="仿宋_GB2312" w:hint="eastAsia"/>
          <w:szCs w:val="32"/>
        </w:rPr>
        <w:t>，</w:t>
      </w:r>
      <w:r>
        <w:rPr>
          <w:rFonts w:ascii="仿宋_GB2312" w:hint="eastAsia"/>
          <w:szCs w:val="32"/>
        </w:rPr>
        <w:t>发现该公司的监测报告存在部分污染因子数值偏低的情况。经核查，</w:t>
      </w:r>
      <w:r>
        <w:rPr>
          <w:rFonts w:ascii="仿宋_GB2312" w:hAnsi="仿宋" w:hint="eastAsia"/>
          <w:szCs w:val="32"/>
        </w:rPr>
        <w:t>你单位对某公司采样监测时存在隐瞒、伪造、篡改环境监测数据等弄虚作假行为。</w:t>
      </w:r>
    </w:p>
    <w:p w14:paraId="075C0967" w14:textId="77777777" w:rsidR="00A25838" w:rsidRDefault="00983801">
      <w:pPr>
        <w:spacing w:line="520" w:lineRule="exact"/>
        <w:ind w:firstLineChars="200" w:firstLine="624"/>
        <w:rPr>
          <w:rFonts w:ascii="仿宋_GB2312"/>
          <w:szCs w:val="32"/>
        </w:rPr>
      </w:pPr>
      <w:r>
        <w:rPr>
          <w:rFonts w:ascii="仿宋_GB2312" w:hAnsi="宋体" w:hint="eastAsia"/>
          <w:szCs w:val="32"/>
        </w:rPr>
        <w:t>以上事实，有当事人签名确认的《江门市生态环境局现场检查</w:t>
      </w:r>
      <w:r>
        <w:rPr>
          <w:rFonts w:ascii="仿宋_GB2312" w:hAnsi="宋体" w:hint="eastAsia"/>
          <w:szCs w:val="32"/>
        </w:rPr>
        <w:t>（</w:t>
      </w:r>
      <w:r>
        <w:rPr>
          <w:rFonts w:ascii="仿宋_GB2312" w:hAnsi="宋体" w:hint="eastAsia"/>
          <w:szCs w:val="32"/>
        </w:rPr>
        <w:t>勘察</w:t>
      </w:r>
      <w:r>
        <w:rPr>
          <w:rFonts w:ascii="仿宋_GB2312" w:hAnsi="宋体" w:hint="eastAsia"/>
          <w:szCs w:val="32"/>
        </w:rPr>
        <w:t>）</w:t>
      </w:r>
      <w:r>
        <w:rPr>
          <w:rFonts w:ascii="仿宋_GB2312" w:hAnsi="宋体" w:hint="eastAsia"/>
          <w:szCs w:val="32"/>
        </w:rPr>
        <w:t>笔</w:t>
      </w:r>
      <w:r>
        <w:rPr>
          <w:rFonts w:ascii="仿宋_GB2312" w:hAnsi="宋体" w:hint="eastAsia"/>
          <w:szCs w:val="32"/>
        </w:rPr>
        <w:t>录》《江门市生态环境局调查询问笔录》</w:t>
      </w:r>
      <w:r>
        <w:rPr>
          <w:rFonts w:ascii="仿宋_GB2312" w:hAnsi="宋体" w:hint="eastAsia"/>
          <w:szCs w:val="32"/>
        </w:rPr>
        <w:t>，</w:t>
      </w:r>
      <w:r>
        <w:rPr>
          <w:rFonts w:ascii="仿宋_GB2312" w:hAnsi="宋体" w:hint="eastAsia"/>
          <w:szCs w:val="32"/>
        </w:rPr>
        <w:t>你单位出具的《监测报告（</w:t>
      </w:r>
      <w:r>
        <w:rPr>
          <w:rFonts w:hint="eastAsia"/>
          <w:kern w:val="0"/>
        </w:rPr>
        <w:t>BX20251016001</w:t>
      </w:r>
      <w:r>
        <w:rPr>
          <w:rFonts w:ascii="仿宋_GB2312" w:hAnsi="宋体" w:hint="eastAsia"/>
          <w:szCs w:val="32"/>
        </w:rPr>
        <w:t>）》以及提供的《环境检测委托服务合同书（合同编号：</w:t>
      </w:r>
      <w:r>
        <w:rPr>
          <w:rFonts w:hint="eastAsia"/>
          <w:kern w:val="0"/>
        </w:rPr>
        <w:t>[2024]-BX06-017</w:t>
      </w:r>
      <w:r>
        <w:rPr>
          <w:rFonts w:ascii="仿宋_GB2312" w:hAnsi="宋体" w:hint="eastAsia"/>
          <w:szCs w:val="32"/>
        </w:rPr>
        <w:t>、</w:t>
      </w:r>
      <w:r>
        <w:rPr>
          <w:rFonts w:hint="eastAsia"/>
          <w:kern w:val="0"/>
        </w:rPr>
        <w:t>[2025]-BX06-005</w:t>
      </w:r>
      <w:r>
        <w:rPr>
          <w:rFonts w:ascii="仿宋_GB2312" w:hAnsi="宋体" w:hint="eastAsia"/>
          <w:szCs w:val="32"/>
        </w:rPr>
        <w:t>）》《采样数据资料》《关于违法行为改正情况的说明及从轻处罚的请求》，某公司提供的《来访人员登记簿》《环保技术咨询服务合同</w:t>
      </w:r>
      <w:r>
        <w:rPr>
          <w:rFonts w:ascii="仿宋_GB2312" w:hAnsi="宋体" w:hint="eastAsia"/>
          <w:szCs w:val="32"/>
        </w:rPr>
        <w:lastRenderedPageBreak/>
        <w:t>（环保管家服务）》</w:t>
      </w:r>
      <w:r>
        <w:rPr>
          <w:rFonts w:ascii="仿宋_GB2312" w:hAnsi="宋体" w:hint="eastAsia"/>
          <w:szCs w:val="32"/>
        </w:rPr>
        <w:t>和</w:t>
      </w:r>
      <w:r>
        <w:rPr>
          <w:rFonts w:ascii="仿宋_GB2312" w:hAnsi="宋体" w:hint="eastAsia"/>
          <w:szCs w:val="32"/>
        </w:rPr>
        <w:t>监控视频</w:t>
      </w:r>
      <w:r>
        <w:rPr>
          <w:rFonts w:ascii="仿宋_GB2312" w:hAnsi="宋体" w:hint="eastAsia"/>
          <w:szCs w:val="32"/>
        </w:rPr>
        <w:t>等证据为证。</w:t>
      </w:r>
      <w:r>
        <w:rPr>
          <w:rFonts w:ascii="仿宋_GB2312" w:hint="eastAsia"/>
          <w:szCs w:val="32"/>
        </w:rPr>
        <w:t xml:space="preserve">  </w:t>
      </w:r>
    </w:p>
    <w:p w14:paraId="2D723EB6" w14:textId="77777777" w:rsidR="00A25838" w:rsidRDefault="00983801">
      <w:pPr>
        <w:spacing w:line="52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Ansi="宋体" w:hint="eastAsia"/>
          <w:szCs w:val="32"/>
        </w:rPr>
        <w:t>《广东省水污染防治条例》第</w:t>
      </w:r>
      <w:r>
        <w:rPr>
          <w:rFonts w:ascii="仿宋_GB2312" w:hAnsi="宋体" w:hint="eastAsia"/>
          <w:szCs w:val="32"/>
        </w:rPr>
        <w:t>二十三条第三款</w:t>
      </w:r>
      <w:r>
        <w:rPr>
          <w:rFonts w:ascii="仿宋_GB2312" w:hAnsi="宋体" w:hint="eastAsia"/>
          <w:szCs w:val="32"/>
        </w:rPr>
        <w:t>的规定</w:t>
      </w:r>
      <w:r>
        <w:rPr>
          <w:rFonts w:ascii="仿宋" w:eastAsia="仿宋" w:hAnsi="仿宋" w:cs="仿宋" w:hint="eastAsia"/>
          <w:szCs w:val="32"/>
        </w:rPr>
        <w:t>，依法应当予以处罚。</w:t>
      </w:r>
    </w:p>
    <w:p w14:paraId="50E49333" w14:textId="77777777" w:rsidR="00A25838" w:rsidRDefault="00983801">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26</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14:paraId="70699638" w14:textId="77777777" w:rsidR="00A25838" w:rsidRDefault="00983801">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25</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61</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26</w:t>
      </w:r>
      <w:r>
        <w:rPr>
          <w:rFonts w:ascii="仿宋" w:eastAsia="仿宋" w:hAnsi="仿宋" w:cs="仿宋" w:hint="eastAsia"/>
          <w:szCs w:val="32"/>
        </w:rPr>
        <w:t>日送达回执为证</w:t>
      </w:r>
      <w:r>
        <w:rPr>
          <w:rFonts w:ascii="仿宋" w:eastAsia="仿宋" w:hAnsi="仿宋" w:cs="仿宋" w:hint="eastAsia"/>
          <w:szCs w:val="32"/>
        </w:rPr>
        <w:t>。</w:t>
      </w:r>
    </w:p>
    <w:p w14:paraId="0C948981" w14:textId="77777777" w:rsidR="00A25838" w:rsidRDefault="00983801" w:rsidP="0059631E">
      <w:pPr>
        <w:spacing w:beforeLines="50" w:before="313"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7BCFBB9D" w14:textId="77777777" w:rsidR="00A25838" w:rsidRDefault="00983801">
      <w:pPr>
        <w:spacing w:line="520" w:lineRule="exact"/>
        <w:ind w:firstLineChars="200" w:firstLine="624"/>
        <w:rPr>
          <w:rFonts w:ascii="仿宋" w:eastAsia="仿宋" w:hAnsi="仿宋" w:cs="仿宋"/>
          <w:szCs w:val="32"/>
        </w:rPr>
      </w:pPr>
      <w:r>
        <w:rPr>
          <w:rFonts w:ascii="仿宋_GB2312" w:hAnsi="宋体" w:hint="eastAsia"/>
          <w:szCs w:val="32"/>
        </w:rPr>
        <w:t>《</w:t>
      </w:r>
      <w:r>
        <w:rPr>
          <w:rFonts w:ascii="仿宋_GB2312" w:hAnsi="宋体" w:hint="eastAsia"/>
          <w:szCs w:val="32"/>
        </w:rPr>
        <w:t>广东省水污染防治条例</w:t>
      </w:r>
      <w:r>
        <w:rPr>
          <w:rFonts w:ascii="仿宋_GB2312" w:hAnsi="宋体" w:hint="eastAsia"/>
          <w:szCs w:val="32"/>
        </w:rPr>
        <w:t>》第六十三条规定，环境监测机构违反本条例第二十三条第三款规定，未按照环境监测规范从事环境监测活动，造成监测数据失实的，由所在地生态环境主管部门责令改正，并可处二万元以上五万元以下的罚款；有隐瞒、伪造、篡改环境监测数据等弄虚作假行为的，由所在地生态环境主管部门责令改正，处十万元以上二十万元以下的罚款。</w:t>
      </w:r>
    </w:p>
    <w:p w14:paraId="48A5CB10" w14:textId="77777777" w:rsidR="00A25838" w:rsidRDefault="00983801" w:rsidP="0059631E">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2.26</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w:t>
      </w:r>
      <w:r>
        <w:rPr>
          <w:rFonts w:ascii="仿宋" w:eastAsia="仿宋" w:hAnsi="仿宋" w:cs="仿宋" w:hint="eastAsia"/>
          <w:b/>
          <w:szCs w:val="32"/>
        </w:rPr>
        <w:t>单位处罚款人民币</w:t>
      </w:r>
      <w:r>
        <w:rPr>
          <w:rFonts w:eastAsia="宋体" w:hint="eastAsia"/>
          <w:kern w:val="0"/>
        </w:rPr>
        <w:t>10.85</w:t>
      </w:r>
      <w:r>
        <w:rPr>
          <w:rFonts w:ascii="仿宋" w:eastAsia="仿宋" w:hAnsi="仿宋" w:cs="仿宋" w:hint="eastAsia"/>
          <w:b/>
          <w:szCs w:val="32"/>
        </w:rPr>
        <w:t>万元（大写：</w:t>
      </w:r>
      <w:r>
        <w:rPr>
          <w:rFonts w:ascii="仿宋_GB2312" w:hAnsi="宋体" w:hint="eastAsia"/>
          <w:b/>
          <w:bCs/>
          <w:szCs w:val="32"/>
        </w:rPr>
        <w:t>壹拾万捌仟伍佰元</w:t>
      </w:r>
      <w:r>
        <w:rPr>
          <w:rFonts w:ascii="仿宋" w:eastAsia="仿宋" w:hAnsi="仿宋" w:cs="仿宋" w:hint="eastAsia"/>
          <w:b/>
          <w:szCs w:val="32"/>
        </w:rPr>
        <w:t>）。</w:t>
      </w:r>
    </w:p>
    <w:p w14:paraId="4A91C3EE" w14:textId="77777777" w:rsidR="00A25838" w:rsidRDefault="00983801">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w:t>
      </w:r>
      <w:bookmarkStart w:id="0" w:name="_GoBack"/>
      <w:bookmarkEnd w:id="0"/>
      <w:r>
        <w:rPr>
          <w:rFonts w:ascii="仿宋" w:eastAsia="仿宋" w:hAnsi="仿宋" w:cs="仿宋" w:hint="eastAsia"/>
          <w:kern w:val="2"/>
          <w:sz w:val="32"/>
          <w:szCs w:val="32"/>
        </w:rPr>
        <w:lastRenderedPageBreak/>
        <w:t>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14:paraId="2287FF9A" w14:textId="77777777" w:rsidR="00A25838" w:rsidRDefault="00983801">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A25838" w:rsidRDefault="00983801" w:rsidP="0059631E">
      <w:pPr>
        <w:pStyle w:val="a3"/>
        <w:spacing w:beforeLines="50" w:before="313"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07169112" w14:textId="77777777" w:rsidR="00A25838" w:rsidRDefault="00983801">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A25838" w:rsidRDefault="00983801">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14:paraId="520862B5" w14:textId="77777777" w:rsidR="00A25838" w:rsidRDefault="00983801">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9A25200" w14:textId="77777777" w:rsidR="00A25838" w:rsidRDefault="00A25838">
      <w:pPr>
        <w:spacing w:line="520" w:lineRule="exact"/>
        <w:rPr>
          <w:rFonts w:ascii="仿宋" w:eastAsia="仿宋" w:hAnsi="仿宋" w:cs="仿宋"/>
          <w:kern w:val="0"/>
          <w:szCs w:val="32"/>
        </w:rPr>
      </w:pPr>
    </w:p>
    <w:p w14:paraId="4021B278" w14:textId="77777777" w:rsidR="00A25838" w:rsidRDefault="00A25838">
      <w:pPr>
        <w:spacing w:line="520" w:lineRule="exact"/>
        <w:rPr>
          <w:rFonts w:ascii="仿宋" w:eastAsia="仿宋" w:hAnsi="仿宋" w:cs="仿宋"/>
          <w:kern w:val="0"/>
          <w:szCs w:val="32"/>
        </w:rPr>
      </w:pPr>
    </w:p>
    <w:p w14:paraId="29148986" w14:textId="77777777" w:rsidR="00A25838" w:rsidRDefault="00983801">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6AA8B45F" w14:textId="77777777" w:rsidR="00A25838" w:rsidRDefault="00983801">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 xml:space="preserve"> 20</w:t>
      </w:r>
      <w:r>
        <w:rPr>
          <w:rFonts w:eastAsia="宋体" w:hint="eastAsia"/>
          <w:kern w:val="0"/>
        </w:rPr>
        <w:t>26</w:t>
      </w:r>
      <w:r>
        <w:rPr>
          <w:rFonts w:ascii="仿宋" w:eastAsia="仿宋" w:hAnsi="仿宋" w:cs="仿宋" w:hint="eastAsia"/>
          <w:kern w:val="0"/>
          <w:szCs w:val="32"/>
        </w:rPr>
        <w:t>年</w:t>
      </w:r>
      <w:r>
        <w:rPr>
          <w:rFonts w:eastAsia="宋体" w:hint="eastAsia"/>
          <w:kern w:val="0"/>
        </w:rPr>
        <w:t>1</w:t>
      </w:r>
      <w:r>
        <w:rPr>
          <w:rFonts w:ascii="仿宋" w:eastAsia="仿宋" w:hAnsi="仿宋" w:cs="仿宋" w:hint="eastAsia"/>
          <w:kern w:val="0"/>
          <w:szCs w:val="32"/>
        </w:rPr>
        <w:t>月</w:t>
      </w:r>
      <w:r>
        <w:rPr>
          <w:rFonts w:eastAsia="宋体" w:hint="eastAsia"/>
          <w:kern w:val="0"/>
        </w:rPr>
        <w:t>7</w:t>
      </w:r>
      <w:r>
        <w:rPr>
          <w:rFonts w:ascii="仿宋" w:eastAsia="仿宋" w:hAnsi="仿宋" w:cs="仿宋" w:hint="eastAsia"/>
          <w:kern w:val="0"/>
          <w:szCs w:val="32"/>
        </w:rPr>
        <w:t>日</w:t>
      </w:r>
      <w:r>
        <w:rPr>
          <w:rFonts w:ascii="仿宋" w:eastAsia="仿宋" w:hAnsi="仿宋" w:cs="仿宋" w:hint="eastAsia"/>
          <w:kern w:val="0"/>
          <w:szCs w:val="32"/>
        </w:rPr>
        <w:t xml:space="preserve"> </w:t>
      </w:r>
    </w:p>
    <w:p w14:paraId="64D772B4" w14:textId="77777777" w:rsidR="00A25838" w:rsidRDefault="00A25838">
      <w:pPr>
        <w:spacing w:line="560" w:lineRule="exact"/>
        <w:ind w:right="1094"/>
        <w:rPr>
          <w:rFonts w:ascii="仿宋" w:eastAsia="仿宋" w:hAnsi="仿宋" w:cs="仿宋"/>
          <w:kern w:val="0"/>
        </w:rPr>
      </w:pPr>
    </w:p>
    <w:sectPr w:rsidR="00A25838">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DFFCE" w14:textId="77777777" w:rsidR="00983801" w:rsidRDefault="00983801">
      <w:r>
        <w:separator/>
      </w:r>
    </w:p>
  </w:endnote>
  <w:endnote w:type="continuationSeparator" w:id="0">
    <w:p w14:paraId="1357DF2B" w14:textId="77777777" w:rsidR="00983801" w:rsidRDefault="0098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429B" w14:textId="77777777" w:rsidR="00A25838" w:rsidRDefault="00983801">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59631E">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D5090AA" w14:textId="77777777" w:rsidR="00A25838" w:rsidRDefault="00A2583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48D4" w14:textId="77777777" w:rsidR="00A25838" w:rsidRDefault="00983801">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59631E">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6D0E35" w14:textId="77777777" w:rsidR="00A25838" w:rsidRDefault="00A25838">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318F3" w14:textId="77777777" w:rsidR="00A25838" w:rsidRDefault="00983801">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B5C1C" w14:textId="77777777" w:rsidR="00983801" w:rsidRDefault="00983801">
      <w:r>
        <w:separator/>
      </w:r>
    </w:p>
  </w:footnote>
  <w:footnote w:type="continuationSeparator" w:id="0">
    <w:p w14:paraId="3237B759" w14:textId="77777777" w:rsidR="00983801" w:rsidRDefault="00983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A3BA" w14:textId="77777777" w:rsidR="00A25838" w:rsidRDefault="00A25838">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080A" w14:textId="77777777" w:rsidR="00A25838" w:rsidRDefault="00A2583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31E"/>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801"/>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838"/>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EA4055"/>
    <w:rsid w:val="02B17662"/>
    <w:rsid w:val="02C55317"/>
    <w:rsid w:val="03020908"/>
    <w:rsid w:val="03FE7EAB"/>
    <w:rsid w:val="04155F10"/>
    <w:rsid w:val="045D7A44"/>
    <w:rsid w:val="047333D2"/>
    <w:rsid w:val="04983D5F"/>
    <w:rsid w:val="04B9598A"/>
    <w:rsid w:val="04F76DD4"/>
    <w:rsid w:val="051B0039"/>
    <w:rsid w:val="05F16921"/>
    <w:rsid w:val="063E0A32"/>
    <w:rsid w:val="06A56CC2"/>
    <w:rsid w:val="08E03AB3"/>
    <w:rsid w:val="097B6C43"/>
    <w:rsid w:val="0A5C7E2B"/>
    <w:rsid w:val="0D026C5D"/>
    <w:rsid w:val="0D305CD2"/>
    <w:rsid w:val="0D604782"/>
    <w:rsid w:val="0EE411DE"/>
    <w:rsid w:val="0F380715"/>
    <w:rsid w:val="0F8A3119"/>
    <w:rsid w:val="10B34097"/>
    <w:rsid w:val="10E36028"/>
    <w:rsid w:val="13481A0F"/>
    <w:rsid w:val="15C87B68"/>
    <w:rsid w:val="15F14959"/>
    <w:rsid w:val="16232CE1"/>
    <w:rsid w:val="164A16A5"/>
    <w:rsid w:val="16BB2D6C"/>
    <w:rsid w:val="18215FB0"/>
    <w:rsid w:val="18CB43A7"/>
    <w:rsid w:val="19FB10D4"/>
    <w:rsid w:val="19FF5BEE"/>
    <w:rsid w:val="1AED1685"/>
    <w:rsid w:val="1AF31481"/>
    <w:rsid w:val="1B9A4789"/>
    <w:rsid w:val="1C5D6DE0"/>
    <w:rsid w:val="1C8F393E"/>
    <w:rsid w:val="1F3248A2"/>
    <w:rsid w:val="201523AB"/>
    <w:rsid w:val="20E617A0"/>
    <w:rsid w:val="21F93D33"/>
    <w:rsid w:val="222C6442"/>
    <w:rsid w:val="2341634B"/>
    <w:rsid w:val="23613299"/>
    <w:rsid w:val="23BC22A8"/>
    <w:rsid w:val="25DC4417"/>
    <w:rsid w:val="286D7A3D"/>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5D10FCF"/>
    <w:rsid w:val="48501534"/>
    <w:rsid w:val="48825F81"/>
    <w:rsid w:val="48C621C4"/>
    <w:rsid w:val="49BA6F32"/>
    <w:rsid w:val="49C4596D"/>
    <w:rsid w:val="49CF19C3"/>
    <w:rsid w:val="49E862B8"/>
    <w:rsid w:val="4A297457"/>
    <w:rsid w:val="4AA77651"/>
    <w:rsid w:val="4B696B71"/>
    <w:rsid w:val="4BC66ACD"/>
    <w:rsid w:val="4CD57BEF"/>
    <w:rsid w:val="4CFE2E04"/>
    <w:rsid w:val="50A447B5"/>
    <w:rsid w:val="51EB5190"/>
    <w:rsid w:val="531A485A"/>
    <w:rsid w:val="537F46B4"/>
    <w:rsid w:val="548F7932"/>
    <w:rsid w:val="54B3376C"/>
    <w:rsid w:val="55A736AC"/>
    <w:rsid w:val="56160D40"/>
    <w:rsid w:val="562C577E"/>
    <w:rsid w:val="562C712C"/>
    <w:rsid w:val="56494CBE"/>
    <w:rsid w:val="56E51C9D"/>
    <w:rsid w:val="570322C8"/>
    <w:rsid w:val="58CA2088"/>
    <w:rsid w:val="58FB5FE3"/>
    <w:rsid w:val="59090B79"/>
    <w:rsid w:val="59172546"/>
    <w:rsid w:val="5A6432D8"/>
    <w:rsid w:val="5AAD3E10"/>
    <w:rsid w:val="5CC8430F"/>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2F5818"/>
    <w:rsid w:val="6CAC4EE0"/>
    <w:rsid w:val="6CF7043C"/>
    <w:rsid w:val="6D391EE1"/>
    <w:rsid w:val="709046C4"/>
    <w:rsid w:val="710F5414"/>
    <w:rsid w:val="72161FAF"/>
    <w:rsid w:val="724F79AA"/>
    <w:rsid w:val="728C4FED"/>
    <w:rsid w:val="730C565B"/>
    <w:rsid w:val="73B228EE"/>
    <w:rsid w:val="75F23E97"/>
    <w:rsid w:val="7722562D"/>
    <w:rsid w:val="779E1C22"/>
    <w:rsid w:val="77BB75AF"/>
    <w:rsid w:val="786E33CC"/>
    <w:rsid w:val="78EB04B8"/>
    <w:rsid w:val="79BC1E8F"/>
    <w:rsid w:val="79EB071C"/>
    <w:rsid w:val="79F44681"/>
    <w:rsid w:val="7AF65FE7"/>
    <w:rsid w:val="7B556765"/>
    <w:rsid w:val="7B7452F6"/>
    <w:rsid w:val="7D730CDE"/>
    <w:rsid w:val="7E753125"/>
    <w:rsid w:val="7F5C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1370</Characters>
  <Application>Microsoft Office Word</Application>
  <DocSecurity>0</DocSecurity>
  <Lines>11</Lines>
  <Paragraphs>3</Paragraphs>
  <ScaleCrop>false</ScaleCrop>
  <Company>Sky123.Org</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2025-09-01T06:47:00Z</cp:lastPrinted>
  <dcterms:created xsi:type="dcterms:W3CDTF">2026-01-12T02:49:00Z</dcterms:created>
  <dcterms:modified xsi:type="dcterms:W3CDTF">2026-01-12T02:49:00Z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29F0F17CAB84439A9FCD97C8641B9503_13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