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0E35C9" w:rsidRDefault="00151C64" w:rsidP="000E35C9">
      <w:pPr>
        <w:spacing w:line="660" w:lineRule="exact"/>
        <w:jc w:val="center"/>
        <w:rPr>
          <w:rFonts w:ascii="方正小标宋简体" w:eastAsia="方正小标宋简体"/>
          <w:b/>
          <w:sz w:val="44"/>
          <w:szCs w:val="44"/>
        </w:rPr>
      </w:pPr>
    </w:p>
    <w:p w:rsidR="000E35C9" w:rsidRPr="000E35C9" w:rsidRDefault="000E35C9" w:rsidP="000E35C9">
      <w:pPr>
        <w:spacing w:line="660" w:lineRule="exact"/>
        <w:jc w:val="center"/>
        <w:rPr>
          <w:rFonts w:ascii="方正小标宋简体" w:eastAsia="方正小标宋简体"/>
          <w:b/>
          <w:sz w:val="44"/>
          <w:szCs w:val="44"/>
        </w:rPr>
      </w:pPr>
      <w:bookmarkStart w:id="0" w:name="_GoBack"/>
      <w:r w:rsidRPr="000E35C9">
        <w:rPr>
          <w:rFonts w:ascii="方正小标宋简体" w:eastAsia="方正小标宋简体" w:hint="eastAsia"/>
          <w:b/>
          <w:sz w:val="44"/>
          <w:szCs w:val="44"/>
        </w:rPr>
        <w:t>珠西新材料集聚区（一区）基础配套设施工程水土保持方案报告书技术审查意见</w:t>
      </w:r>
    </w:p>
    <w:bookmarkEnd w:id="0"/>
    <w:p w:rsidR="000E35C9" w:rsidRPr="000E35C9" w:rsidRDefault="000E35C9" w:rsidP="000E35C9">
      <w:pPr>
        <w:spacing w:line="660" w:lineRule="exact"/>
        <w:jc w:val="center"/>
        <w:rPr>
          <w:rFonts w:ascii="方正小标宋简体" w:eastAsia="方正小标宋简体"/>
          <w:b/>
          <w:sz w:val="44"/>
          <w:szCs w:val="44"/>
        </w:rPr>
      </w:pP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珠西新材料集聚区（一区）基础配套设施工程位于江门市新会区古井镇，江门大道东南线旁。珠西新材料集聚区（一区）基础配套设施工程（以下简称“工程”）建设内容包括场地平整、道路工程区、改河工程区、边坡及绿化区、水景区和临时堆土区等。项目工程占地面积84.86hm</w:t>
      </w:r>
      <w:r w:rsidRPr="000E35C9">
        <w:rPr>
          <w:rFonts w:ascii="仿宋_GB2312" w:eastAsia="仿宋_GB2312" w:hint="eastAsia"/>
          <w:sz w:val="32"/>
          <w:szCs w:val="32"/>
          <w:vertAlign w:val="superscript"/>
        </w:rPr>
        <w:t>2</w:t>
      </w:r>
      <w:r w:rsidRPr="000E35C9">
        <w:rPr>
          <w:rFonts w:ascii="仿宋_GB2312" w:eastAsia="仿宋_GB2312" w:hint="eastAsia"/>
          <w:sz w:val="32"/>
          <w:szCs w:val="32"/>
        </w:rPr>
        <w:t>，其中永久占地63.01hm</w:t>
      </w:r>
      <w:r w:rsidRPr="000E35C9">
        <w:rPr>
          <w:rFonts w:ascii="仿宋_GB2312" w:eastAsia="仿宋_GB2312" w:hint="eastAsia"/>
          <w:sz w:val="32"/>
          <w:szCs w:val="32"/>
          <w:vertAlign w:val="superscript"/>
        </w:rPr>
        <w:t>2</w:t>
      </w:r>
      <w:r w:rsidRPr="000E35C9">
        <w:rPr>
          <w:rFonts w:ascii="仿宋_GB2312" w:eastAsia="仿宋_GB2312" w:hint="eastAsia"/>
          <w:sz w:val="32"/>
          <w:szCs w:val="32"/>
        </w:rPr>
        <w:t>，临时占地21.85hm</w:t>
      </w:r>
      <w:r w:rsidRPr="000E35C9">
        <w:rPr>
          <w:rFonts w:ascii="仿宋_GB2312" w:eastAsia="仿宋_GB2312" w:hint="eastAsia"/>
          <w:sz w:val="32"/>
          <w:szCs w:val="32"/>
          <w:vertAlign w:val="superscript"/>
        </w:rPr>
        <w:t>2</w:t>
      </w:r>
      <w:r w:rsidRPr="000E35C9">
        <w:rPr>
          <w:rFonts w:ascii="仿宋_GB2312" w:eastAsia="仿宋_GB2312" w:hint="eastAsia"/>
          <w:sz w:val="32"/>
          <w:szCs w:val="32"/>
        </w:rPr>
        <w:t>。项目土石方挖方总量172.21万m</w:t>
      </w:r>
      <w:r w:rsidRPr="000E35C9">
        <w:rPr>
          <w:rFonts w:ascii="仿宋_GB2312" w:eastAsia="仿宋_GB2312" w:hint="eastAsia"/>
          <w:sz w:val="32"/>
          <w:szCs w:val="32"/>
          <w:vertAlign w:val="superscript"/>
        </w:rPr>
        <w:t>3</w:t>
      </w:r>
      <w:r w:rsidRPr="000E35C9">
        <w:rPr>
          <w:rFonts w:ascii="仿宋_GB2312" w:eastAsia="仿宋_GB2312" w:hint="eastAsia"/>
          <w:sz w:val="32"/>
          <w:szCs w:val="32"/>
        </w:rPr>
        <w:t>，填方总量193.13万m</w:t>
      </w:r>
      <w:r w:rsidRPr="000E35C9">
        <w:rPr>
          <w:rFonts w:ascii="仿宋_GB2312" w:eastAsia="仿宋_GB2312" w:hint="eastAsia"/>
          <w:sz w:val="32"/>
          <w:szCs w:val="32"/>
          <w:vertAlign w:val="superscript"/>
        </w:rPr>
        <w:t>3</w:t>
      </w:r>
      <w:r w:rsidRPr="000E35C9">
        <w:rPr>
          <w:rFonts w:ascii="仿宋_GB2312" w:eastAsia="仿宋_GB2312" w:hint="eastAsia"/>
          <w:sz w:val="32"/>
          <w:szCs w:val="32"/>
        </w:rPr>
        <w:t>，借方143.69万m</w:t>
      </w:r>
      <w:r w:rsidRPr="000E35C9">
        <w:rPr>
          <w:rFonts w:ascii="仿宋_GB2312" w:eastAsia="仿宋_GB2312" w:hint="eastAsia"/>
          <w:sz w:val="32"/>
          <w:szCs w:val="32"/>
          <w:vertAlign w:val="superscript"/>
        </w:rPr>
        <w:t>3</w:t>
      </w:r>
      <w:r w:rsidRPr="000E35C9">
        <w:rPr>
          <w:rFonts w:ascii="仿宋_GB2312" w:eastAsia="仿宋_GB2312" w:hint="eastAsia"/>
          <w:sz w:val="32"/>
          <w:szCs w:val="32"/>
        </w:rPr>
        <w:t>，余方总量122.77m</w:t>
      </w:r>
      <w:r w:rsidRPr="000E35C9">
        <w:rPr>
          <w:rFonts w:ascii="仿宋_GB2312" w:eastAsia="仿宋_GB2312" w:hint="eastAsia"/>
          <w:sz w:val="32"/>
          <w:szCs w:val="32"/>
          <w:vertAlign w:val="superscript"/>
        </w:rPr>
        <w:t>3</w:t>
      </w:r>
      <w:r w:rsidRPr="000E35C9">
        <w:rPr>
          <w:rFonts w:ascii="仿宋_GB2312" w:eastAsia="仿宋_GB2312" w:hint="eastAsia"/>
          <w:sz w:val="32"/>
          <w:szCs w:val="32"/>
        </w:rPr>
        <w:t>。工程概算总投资为77770.29万元，其中土建投资54647.38万元。项目已于2022年10月开工，计划2027年12月完工，总工期63个月。</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项目区为冲击平原，属亚热带季风气候区，多年平均气温22℃，多年平均降水量1784.6mm；土壤类型主要为黄壤、红壤、赤红壤、滨海盐渍沼泽土，地带性植被类型为亚热带季风常绿阔叶林。项目区属南方红壤丘陵区，以水力侵蚀为主，容许土壤流失量500t/（km</w:t>
      </w:r>
      <w:r w:rsidRPr="000E35C9">
        <w:rPr>
          <w:rFonts w:ascii="仿宋_GB2312" w:eastAsia="仿宋_GB2312" w:hint="eastAsia"/>
          <w:sz w:val="32"/>
          <w:szCs w:val="32"/>
          <w:vertAlign w:val="superscript"/>
        </w:rPr>
        <w:t>2</w:t>
      </w:r>
      <w:r w:rsidRPr="000E35C9">
        <w:rPr>
          <w:rFonts w:ascii="仿宋_GB2312" w:eastAsia="仿宋_GB2312" w:hint="eastAsia"/>
          <w:sz w:val="32"/>
          <w:szCs w:val="32"/>
        </w:rPr>
        <w:t>·a）。项目所在地均不属于广东省、江门市和新会区划定的重点预防区，不涉及新会区的重要自然保护区等。</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2026年2月24日，江门市新会区水利局在新会区主持召开了《珠西新材料集聚区（一区）基础配套设施工程水土保持方案</w:t>
      </w:r>
      <w:r w:rsidRPr="000E35C9">
        <w:rPr>
          <w:rFonts w:ascii="仿宋_GB2312" w:eastAsia="仿宋_GB2312" w:hint="eastAsia"/>
          <w:sz w:val="32"/>
          <w:szCs w:val="32"/>
        </w:rPr>
        <w:lastRenderedPageBreak/>
        <w:t>报告书》（送审稿）（以下简称《水保方案》（送审稿））技术评审会，参加会议的有建设单位江门市新会古井珠西新材料集聚区开发有限公司、新会区珠西新材料集聚区管委会和方案编制单位中山市农水源工程咨询有限公司，会议邀请了5位专家并成立了专家组。与会代表和专家查勘了拟建工程现场，听取了建设单位关于工程前期工作进展情况的介绍、主体工程设计单位关于设计方案的说明、《水保方案》编制单位关于编制成果的汇报，并进行了讨论。主要审查意见如下：</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t>一、综合说明</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（一）同意编制依据。</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（二）同意设计水平年为2028年。</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（三）同意水土流失防治责任范围的界定。根据编制单位测算，本工程水土流失防治责任范围84.86公顷。</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南方红壤区建设类项目二级标准。</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（五）同意水土流失防治目标值。水土流失治理度不低于95%，土壤流失控制比1.0，渣土防护率不低于95%，表土保护率不低于87%，林草植被恢复率不低于95%，林草覆盖率不低于22%。</w:t>
      </w:r>
    </w:p>
    <w:p w:rsidR="000E35C9" w:rsidRDefault="000E35C9" w:rsidP="000E35C9">
      <w:pPr>
        <w:spacing w:line="580" w:lineRule="exact"/>
        <w:ind w:firstLineChars="200" w:firstLine="640"/>
        <w:rPr>
          <w:rFonts w:ascii="黑体" w:eastAsia="黑体" w:hAnsi="黑体"/>
          <w:sz w:val="32"/>
          <w:szCs w:val="32"/>
        </w:rPr>
      </w:pP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lastRenderedPageBreak/>
        <w:t>二、项目概况</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t>三、项目水土保持评价</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（二）同意主体工程设计的水土保持措施分析与评价结论。主体工程设计考虑了截排水工程、拦挡、苫盖以及绿化措施等。</w:t>
      </w:r>
    </w:p>
    <w:p w:rsidR="000E35C9" w:rsidRPr="00007F0F" w:rsidRDefault="000E35C9" w:rsidP="000E35C9">
      <w:pPr>
        <w:spacing w:line="580" w:lineRule="exact"/>
        <w:ind w:firstLineChars="200" w:firstLine="640"/>
        <w:rPr>
          <w:rFonts w:ascii="黑体" w:eastAsia="黑体" w:hAnsi="黑体"/>
          <w:sz w:val="32"/>
          <w:szCs w:val="32"/>
        </w:rPr>
      </w:pPr>
      <w:r w:rsidRPr="00007F0F">
        <w:rPr>
          <w:rFonts w:ascii="黑体" w:eastAsia="黑体" w:hAnsi="黑体" w:hint="eastAsia"/>
          <w:sz w:val="32"/>
          <w:szCs w:val="32"/>
        </w:rPr>
        <w:t>四、水土流失分析与预测</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（一）同意本工程水土流失预测范围、预测时段、预测内容和预测方法。</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（二）同意水土流失预测成果及其综合分析结论。本工程扰动地表面积为84.86公顷，损坏水土保持设施面积为84.86公顷，需缴纳水土保持补偿费面积为84.86公顷（848631m</w:t>
      </w:r>
      <w:r w:rsidRPr="000E35C9">
        <w:rPr>
          <w:rFonts w:ascii="仿宋_GB2312" w:eastAsia="仿宋_GB2312" w:hint="eastAsia"/>
          <w:sz w:val="32"/>
          <w:szCs w:val="32"/>
          <w:vertAlign w:val="superscript"/>
        </w:rPr>
        <w:t>2</w:t>
      </w:r>
      <w:r w:rsidRPr="000E35C9">
        <w:rPr>
          <w:rFonts w:ascii="仿宋_GB2312" w:eastAsia="仿宋_GB2312" w:hint="eastAsia"/>
          <w:sz w:val="32"/>
          <w:szCs w:val="32"/>
        </w:rPr>
        <w:t>）。据编制单位测算，若不采取有效的防治措施，工程建设可能产生土壤流失预测总量为7214t，其中新增土壤流失量为6243t。本项目主要的时段为施工期。</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lastRenderedPageBreak/>
        <w:t>五、水土保持措施</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水土流失防治责任范围的界定和防治分区划分。项目区划分为场地平整区、道路工程区、余方堆放场、施工临建区、施工便道和临时堆土区6个水土流失防治一级分区，其中道路工程区划分为填方边坡区、挖方边坡区和路基工程区3个二级防治分区，其他各防治分区不再划分二级防治分区。</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（二）同意水土流失防治措施布设原则、措施体系和总体布局。</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t>六、水土保持监测</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（一）同意水土保持监测时段、监测内容、监测方法和监测频次。重点做好雨季施工的监测工作，监测时段应从施工准备期开始。</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（二）同意初定的监测点位布设，下阶段应根据施工组织设计，进一步优化监测点布设和监测方法。</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t>七、投资估算及效益分析</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（一）同意投资估算的编制办法及定额依据。</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二）经审核，本工程水土保持工程估算总投资为10768.78万元。主体已列投资约10345.77万元，方案新增投资约423.01万元。其中工程措施29.54万元，植物措施15.60万元，监测措施37.28万元，临时措施232.97万元，独立费用64.54万元，基本预备费37.99万元，水土保持补偿费50917.86元。</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（三）同意本工程水土保持效益分析方法和内容。实施本方</w:t>
      </w:r>
      <w:r w:rsidRPr="000E35C9">
        <w:rPr>
          <w:rFonts w:ascii="仿宋_GB2312" w:eastAsia="仿宋_GB2312" w:hint="eastAsia"/>
          <w:sz w:val="32"/>
          <w:szCs w:val="32"/>
        </w:rPr>
        <w:lastRenderedPageBreak/>
        <w:t>案各项防治措施后，设计水平年六项指标可达到或超过防治目标值。</w:t>
      </w:r>
    </w:p>
    <w:p w:rsidR="000E35C9" w:rsidRPr="000E35C9" w:rsidRDefault="000E35C9" w:rsidP="000E35C9">
      <w:pPr>
        <w:spacing w:line="580" w:lineRule="exact"/>
        <w:ind w:firstLineChars="200" w:firstLine="640"/>
        <w:rPr>
          <w:rFonts w:ascii="黑体" w:eastAsia="黑体" w:hAnsi="黑体"/>
          <w:sz w:val="32"/>
          <w:szCs w:val="32"/>
        </w:rPr>
      </w:pPr>
      <w:r w:rsidRPr="000E35C9">
        <w:rPr>
          <w:rFonts w:ascii="黑体" w:eastAsia="黑体" w:hAnsi="黑体" w:hint="eastAsia"/>
          <w:sz w:val="32"/>
          <w:szCs w:val="32"/>
        </w:rPr>
        <w:t>八、水土保持管理</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同意编制单位制定的本《水保方案》水土保持管理措施。</w:t>
      </w:r>
    </w:p>
    <w:p w:rsidR="000E35C9" w:rsidRPr="000E35C9" w:rsidRDefault="000E35C9" w:rsidP="000E35C9">
      <w:pPr>
        <w:spacing w:line="580" w:lineRule="exact"/>
        <w:ind w:firstLineChars="200" w:firstLine="640"/>
        <w:rPr>
          <w:rFonts w:ascii="仿宋_GB2312" w:eastAsia="仿宋_GB2312"/>
          <w:sz w:val="32"/>
          <w:szCs w:val="32"/>
        </w:rPr>
      </w:pPr>
      <w:r w:rsidRPr="000E35C9">
        <w:rPr>
          <w:rFonts w:ascii="仿宋_GB2312" w:eastAsia="仿宋_GB2312" w:hint="eastAsia"/>
          <w:sz w:val="32"/>
          <w:szCs w:val="32"/>
        </w:rPr>
        <w:t>综上所述，经审查，《珠西新材料集聚区（一区）基础配套设施工程水土保持方案报告书》的编制满足有关技术规范和要求，同意通过评审，可上报审批。</w:t>
      </w:r>
    </w:p>
    <w:p w:rsidR="0073397D" w:rsidRPr="000E35C9" w:rsidRDefault="0073397D" w:rsidP="000E35C9">
      <w:pPr>
        <w:spacing w:line="580" w:lineRule="exact"/>
        <w:ind w:firstLineChars="200" w:firstLine="640"/>
        <w:rPr>
          <w:rFonts w:ascii="仿宋_GB2312" w:eastAsia="仿宋_GB2312"/>
          <w:sz w:val="32"/>
          <w:szCs w:val="32"/>
        </w:rPr>
      </w:pPr>
    </w:p>
    <w:p w:rsidR="0073397D" w:rsidRPr="000E35C9" w:rsidRDefault="0073397D" w:rsidP="000E35C9">
      <w:pPr>
        <w:spacing w:line="580" w:lineRule="exact"/>
        <w:ind w:firstLineChars="200" w:firstLine="640"/>
        <w:rPr>
          <w:rFonts w:ascii="仿宋_GB2312" w:eastAsia="仿宋_GB2312"/>
          <w:sz w:val="32"/>
          <w:szCs w:val="32"/>
        </w:rPr>
      </w:pPr>
    </w:p>
    <w:p w:rsidR="00D10464" w:rsidRPr="00D10464" w:rsidRDefault="00D10464" w:rsidP="00D10464">
      <w:pPr>
        <w:spacing w:line="56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D10464">
      <w:pPr>
        <w:spacing w:line="56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F2256F">
        <w:rPr>
          <w:rFonts w:ascii="仿宋_GB2312" w:eastAsia="仿宋_GB2312" w:hAnsi="黑体"/>
          <w:sz w:val="32"/>
          <w:szCs w:val="32"/>
        </w:rPr>
        <w:t>28</w:t>
      </w:r>
      <w:r w:rsidRPr="00D10464">
        <w:rPr>
          <w:rFonts w:ascii="仿宋_GB2312" w:eastAsia="仿宋_GB2312" w:hAnsi="黑体" w:hint="eastAsia"/>
          <w:sz w:val="32"/>
          <w:szCs w:val="32"/>
        </w:rPr>
        <w:t>日</w:t>
      </w:r>
    </w:p>
    <w:sectPr w:rsidR="00D10464" w:rsidRPr="00D10464" w:rsidSect="000E35C9">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E35C9" w:rsidRPr="000E35C9">
          <w:rPr>
            <w:rFonts w:asciiTheme="minorEastAsia" w:hAnsiTheme="minorEastAsia"/>
            <w:noProof/>
            <w:sz w:val="28"/>
            <w:szCs w:val="28"/>
            <w:lang w:val="zh-CN"/>
          </w:rPr>
          <w:t>-</w:t>
        </w:r>
        <w:r w:rsidR="000E35C9">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71F80" w:rsidRPr="00071F80">
          <w:rPr>
            <w:rFonts w:asciiTheme="minorEastAsia" w:hAnsiTheme="minorEastAsia"/>
            <w:noProof/>
            <w:sz w:val="28"/>
            <w:szCs w:val="28"/>
            <w:lang w:val="zh-CN"/>
          </w:rPr>
          <w:t>-</w:t>
        </w:r>
        <w:r w:rsidR="00071F80">
          <w:rPr>
            <w:rFonts w:asciiTheme="minorEastAsia" w:hAnsiTheme="minorEastAsia"/>
            <w:noProof/>
            <w:sz w:val="28"/>
            <w:szCs w:val="28"/>
          </w:rPr>
          <w:t xml:space="preserve"> 5 -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07F0F"/>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1F80"/>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35C9"/>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3E403A5"/>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1830-E31E-4BA1-AD92-A6818F6F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334</Words>
  <Characters>1905</Characters>
  <Application>Microsoft Office Word</Application>
  <DocSecurity>0</DocSecurity>
  <Lines>15</Lines>
  <Paragraphs>4</Paragraphs>
  <ScaleCrop>false</ScaleCrop>
  <Company>WwW.YlmF.CoM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2026-03-02T09:04:00Z</dcterms:created>
  <dcterms:modified xsi:type="dcterms:W3CDTF">2026-03-02T09:04:00Z</dcterms:modified>
</cp:coreProperties>
</file>