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182723" w:rsidRDefault="00151C64" w:rsidP="00182723">
      <w:pPr>
        <w:spacing w:line="660" w:lineRule="exact"/>
        <w:jc w:val="center"/>
        <w:rPr>
          <w:rFonts w:ascii="方正小标宋简体" w:eastAsia="方正小标宋简体" w:hAnsi="方正小标宋简体"/>
          <w:b/>
          <w:sz w:val="44"/>
          <w:szCs w:val="44"/>
        </w:rPr>
      </w:pPr>
    </w:p>
    <w:p w:rsidR="00182723" w:rsidRDefault="00182723" w:rsidP="00182723">
      <w:pPr>
        <w:spacing w:line="660" w:lineRule="exact"/>
        <w:jc w:val="center"/>
        <w:rPr>
          <w:rFonts w:ascii="方正小标宋简体" w:eastAsia="方正小标宋简体" w:hAnsi="方正小标宋简体"/>
          <w:b/>
          <w:sz w:val="44"/>
          <w:szCs w:val="44"/>
        </w:rPr>
      </w:pPr>
      <w:bookmarkStart w:id="0" w:name="_GoBack"/>
      <w:r w:rsidRPr="00182723">
        <w:rPr>
          <w:rFonts w:ascii="方正小标宋简体" w:eastAsia="方正小标宋简体" w:hAnsi="方正小标宋简体" w:hint="eastAsia"/>
          <w:b/>
          <w:sz w:val="44"/>
          <w:szCs w:val="44"/>
        </w:rPr>
        <w:t>银鹭大道东延线（兼顾城市道路功能）工程</w:t>
      </w:r>
    </w:p>
    <w:p w:rsidR="00182723" w:rsidRPr="00182723" w:rsidRDefault="00182723" w:rsidP="00182723">
      <w:pPr>
        <w:spacing w:line="660" w:lineRule="exact"/>
        <w:jc w:val="center"/>
        <w:rPr>
          <w:rFonts w:ascii="方正小标宋简体" w:eastAsia="方正小标宋简体" w:hAnsi="方正小标宋简体"/>
          <w:b/>
          <w:sz w:val="44"/>
          <w:szCs w:val="44"/>
        </w:rPr>
      </w:pPr>
      <w:r w:rsidRPr="00182723">
        <w:rPr>
          <w:rFonts w:ascii="方正小标宋简体" w:eastAsia="方正小标宋简体" w:hAnsi="方正小标宋简体" w:hint="eastAsia"/>
          <w:b/>
          <w:sz w:val="44"/>
          <w:szCs w:val="44"/>
        </w:rPr>
        <w:t>水土保持方案报告书技术审查意见</w:t>
      </w:r>
    </w:p>
    <w:bookmarkEnd w:id="0"/>
    <w:p w:rsidR="00182723" w:rsidRPr="00182723" w:rsidRDefault="00182723" w:rsidP="00182723">
      <w:pPr>
        <w:spacing w:line="660" w:lineRule="exact"/>
        <w:jc w:val="center"/>
        <w:rPr>
          <w:rFonts w:ascii="方正小标宋简体" w:eastAsia="方正小标宋简体" w:hAnsi="方正小标宋简体"/>
          <w:b/>
          <w:sz w:val="44"/>
          <w:szCs w:val="44"/>
        </w:rPr>
      </w:pP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银鹭大道东延线（兼顾城市道路功能）工程位于江门市新会区会城枢纽新城。银鹭大道东延线（兼顾城市道路功能）工程（以下简称“工程”）新建道路全长450.237m（按主线右幅计），规划红线宽度为80m。主线采用城市快速路标准，双向八车道，设计速度80km/h；辅道为双向四车道，设计速度40km/h。工程建设的主要内容包括道路工程、给排水工程、箱涵工程、旧路拆除工程、改路、改沟工程、交通工程、照明工程和绿化工程等内容组成。项目工程占地面积4.01hm</w:t>
      </w:r>
      <w:r w:rsidRPr="00182723">
        <w:rPr>
          <w:rFonts w:ascii="仿宋_GB2312" w:eastAsia="仿宋_GB2312" w:hint="eastAsia"/>
          <w:sz w:val="32"/>
          <w:szCs w:val="32"/>
          <w:vertAlign w:val="superscript"/>
        </w:rPr>
        <w:t>2</w:t>
      </w:r>
      <w:r w:rsidRPr="00182723">
        <w:rPr>
          <w:rFonts w:ascii="仿宋_GB2312" w:eastAsia="仿宋_GB2312" w:hint="eastAsia"/>
          <w:sz w:val="32"/>
          <w:szCs w:val="32"/>
        </w:rPr>
        <w:t>，其中永久占地面积约4.00hm</w:t>
      </w:r>
      <w:r w:rsidRPr="00182723">
        <w:rPr>
          <w:rFonts w:ascii="仿宋_GB2312" w:eastAsia="仿宋_GB2312" w:hint="eastAsia"/>
          <w:sz w:val="32"/>
          <w:szCs w:val="32"/>
          <w:vertAlign w:val="superscript"/>
        </w:rPr>
        <w:t>2</w:t>
      </w:r>
      <w:r w:rsidRPr="00182723">
        <w:rPr>
          <w:rFonts w:ascii="仿宋_GB2312" w:eastAsia="仿宋_GB2312" w:hint="eastAsia"/>
          <w:sz w:val="32"/>
          <w:szCs w:val="32"/>
        </w:rPr>
        <w:t>，临时占地面积约0.01hm</w:t>
      </w:r>
      <w:r w:rsidRPr="00182723">
        <w:rPr>
          <w:rFonts w:ascii="仿宋_GB2312" w:eastAsia="仿宋_GB2312" w:hint="eastAsia"/>
          <w:sz w:val="32"/>
          <w:szCs w:val="32"/>
          <w:vertAlign w:val="superscript"/>
        </w:rPr>
        <w:t>2</w:t>
      </w:r>
      <w:r w:rsidRPr="00182723">
        <w:rPr>
          <w:rFonts w:ascii="仿宋_GB2312" w:eastAsia="仿宋_GB2312" w:hint="eastAsia"/>
          <w:sz w:val="32"/>
          <w:szCs w:val="32"/>
        </w:rPr>
        <w:t>。项目总开挖总量约7.44万m</w:t>
      </w:r>
      <w:r w:rsidRPr="00182723">
        <w:rPr>
          <w:rFonts w:ascii="仿宋_GB2312" w:eastAsia="仿宋_GB2312" w:hint="eastAsia"/>
          <w:sz w:val="32"/>
          <w:szCs w:val="32"/>
          <w:vertAlign w:val="superscript"/>
        </w:rPr>
        <w:t>3</w:t>
      </w:r>
      <w:r w:rsidRPr="00182723">
        <w:rPr>
          <w:rFonts w:ascii="仿宋_GB2312" w:eastAsia="仿宋_GB2312" w:hint="eastAsia"/>
          <w:sz w:val="32"/>
          <w:szCs w:val="32"/>
        </w:rPr>
        <w:t>；回填总量约14.25万m</w:t>
      </w:r>
      <w:r w:rsidRPr="00182723">
        <w:rPr>
          <w:rFonts w:ascii="仿宋_GB2312" w:eastAsia="仿宋_GB2312" w:hint="eastAsia"/>
          <w:sz w:val="32"/>
          <w:szCs w:val="32"/>
          <w:vertAlign w:val="superscript"/>
        </w:rPr>
        <w:t>3</w:t>
      </w:r>
      <w:r w:rsidRPr="00182723">
        <w:rPr>
          <w:rFonts w:ascii="仿宋_GB2312" w:eastAsia="仿宋_GB2312" w:hint="eastAsia"/>
          <w:sz w:val="32"/>
          <w:szCs w:val="32"/>
        </w:rPr>
        <w:t>；借方约10.50万m</w:t>
      </w:r>
      <w:r w:rsidRPr="00182723">
        <w:rPr>
          <w:rFonts w:ascii="仿宋_GB2312" w:eastAsia="仿宋_GB2312" w:hint="eastAsia"/>
          <w:sz w:val="32"/>
          <w:szCs w:val="32"/>
          <w:vertAlign w:val="superscript"/>
        </w:rPr>
        <w:t>3</w:t>
      </w:r>
      <w:r w:rsidRPr="00182723">
        <w:rPr>
          <w:rFonts w:ascii="仿宋_GB2312" w:eastAsia="仿宋_GB2312" w:hint="eastAsia"/>
          <w:sz w:val="32"/>
          <w:szCs w:val="32"/>
        </w:rPr>
        <w:t>；弃方约3.69万m</w:t>
      </w:r>
      <w:r w:rsidRPr="00182723">
        <w:rPr>
          <w:rFonts w:ascii="仿宋_GB2312" w:eastAsia="仿宋_GB2312" w:hint="eastAsia"/>
          <w:sz w:val="32"/>
          <w:szCs w:val="32"/>
          <w:vertAlign w:val="superscript"/>
        </w:rPr>
        <w:t>3</w:t>
      </w:r>
      <w:r w:rsidRPr="00182723">
        <w:rPr>
          <w:rFonts w:ascii="仿宋_GB2312" w:eastAsia="仿宋_GB2312" w:hint="eastAsia"/>
          <w:sz w:val="32"/>
          <w:szCs w:val="32"/>
        </w:rPr>
        <w:t>，弃方运至国道G325线鹤山址山至开平塘口段改建工程弃土场（位于开平市月山镇龙尾村）进行回填。工程概算总投资为11811万元，其中建安费9660万元。项目建设资金通过申请专项债券及财政统筹安排等多渠道解决。项目于2023年9月开工，预计2026年3月完工,总工期31个月。</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项目区为冲击平原，属亚热带季风气候区，多年平均气温21.8℃，多年平均降水量1784.6mm；土壤类型主要为赤红壤，地</w:t>
      </w:r>
      <w:r w:rsidRPr="00182723">
        <w:rPr>
          <w:rFonts w:ascii="仿宋_GB2312" w:eastAsia="仿宋_GB2312" w:hint="eastAsia"/>
          <w:sz w:val="32"/>
          <w:szCs w:val="32"/>
        </w:rPr>
        <w:lastRenderedPageBreak/>
        <w:t>带性植被类型为亚热带季风常绿阔叶林。项目区属南方红壤丘陵区，以水力侵蚀为主，容许土壤流失量500t/（km</w:t>
      </w:r>
      <w:r w:rsidRPr="00182723">
        <w:rPr>
          <w:rFonts w:ascii="仿宋_GB2312" w:eastAsia="仿宋_GB2312" w:hint="eastAsia"/>
          <w:sz w:val="32"/>
          <w:szCs w:val="32"/>
          <w:vertAlign w:val="superscript"/>
        </w:rPr>
        <w:t>2</w:t>
      </w:r>
      <w:r w:rsidRPr="00182723">
        <w:rPr>
          <w:rFonts w:ascii="仿宋_GB2312" w:eastAsia="仿宋_GB2312" w:hint="eastAsia"/>
          <w:sz w:val="32"/>
          <w:szCs w:val="32"/>
        </w:rPr>
        <w:t>·a）。项目所在地均不属于国家、广东省、江门市和新会区划定的重点预防区。</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2026年3月9日，江门市新会区水利局在新会区主持召开了《银鹭大道东延线（兼顾城市道路功能）工程水土保持方案报告书》（送审稿）（以下简称《水保方案》（送审稿））技术评审会，参加会议的有建设单位江门市新会区政府工程建设管理中心、主体工程设计单位中交公路规划设计院有限公司、水保方案编制单位江门市邦海环境科技有限公司、新会区圭峰会城林业水利管理所等单位的代表和特邀专家。与会代表和专家查勘了拟建工程现场，听取了建设单位关于工程前期工作进展情况的介绍、主体工程设计单位关于设计方案的说明、《水保方案》编制单位关于编制成果的汇报，并进行了讨论。主要审查意见如下：</w:t>
      </w:r>
    </w:p>
    <w:p w:rsidR="00182723" w:rsidRPr="00182723" w:rsidRDefault="00182723" w:rsidP="00182723">
      <w:pPr>
        <w:spacing w:line="580" w:lineRule="exact"/>
        <w:ind w:firstLineChars="200" w:firstLine="640"/>
        <w:rPr>
          <w:rFonts w:ascii="黑体" w:eastAsia="黑体" w:hAnsi="黑体"/>
          <w:sz w:val="32"/>
          <w:szCs w:val="32"/>
        </w:rPr>
      </w:pPr>
      <w:r w:rsidRPr="00182723">
        <w:rPr>
          <w:rFonts w:ascii="黑体" w:eastAsia="黑体" w:hAnsi="黑体" w:hint="eastAsia"/>
          <w:sz w:val="32"/>
          <w:szCs w:val="32"/>
        </w:rPr>
        <w:t>一、综合说明</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（一）同意编制依据。</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（二）同意设计水平年为2026年。</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（三）同意水土流失防治责任范围的界定。根据编制单位测算，本工程水土流失防治责任范围4.01公顷。</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四）根据水利部办水保〔2013〕188号、《开发建设项目水土流失防治标准》（GB50434-2018）和广东省、江门市两区划分公告等有关规定，项目区所在地不属于项目所在地均不属于国家、广东省、江门市和新会区划定的重点预防区，同意水土流失防治</w:t>
      </w:r>
      <w:r w:rsidRPr="00182723">
        <w:rPr>
          <w:rFonts w:ascii="仿宋_GB2312" w:eastAsia="仿宋_GB2312" w:hint="eastAsia"/>
          <w:sz w:val="32"/>
          <w:szCs w:val="32"/>
        </w:rPr>
        <w:lastRenderedPageBreak/>
        <w:t>标准执行南方红壤区一级标准。</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（五）同意水土流失防治目标值。至设计水平年水土流失治理度98%，土壤流失控制比1.0，渣土防护率99%，表土保护率92%，林草植被恢复率98%，林草覆盖率27%。</w:t>
      </w:r>
    </w:p>
    <w:p w:rsidR="00182723" w:rsidRPr="00182723" w:rsidRDefault="00182723" w:rsidP="00182723">
      <w:pPr>
        <w:spacing w:line="580" w:lineRule="exact"/>
        <w:ind w:firstLineChars="200" w:firstLine="640"/>
        <w:rPr>
          <w:rFonts w:ascii="黑体" w:eastAsia="黑体" w:hAnsi="黑体"/>
          <w:sz w:val="32"/>
          <w:szCs w:val="32"/>
        </w:rPr>
      </w:pPr>
      <w:r w:rsidRPr="00182723">
        <w:rPr>
          <w:rFonts w:ascii="黑体" w:eastAsia="黑体" w:hAnsi="黑体" w:hint="eastAsia"/>
          <w:sz w:val="32"/>
          <w:szCs w:val="32"/>
        </w:rPr>
        <w:t>二、项目概况</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同意项目概况介绍。基本情况、项目组成及布置、施工组织、工程占地、土石方及其平衡情况、工程投资、进度安排、拆迁及安置等介绍清晰。</w:t>
      </w:r>
    </w:p>
    <w:p w:rsidR="00182723" w:rsidRPr="00182723" w:rsidRDefault="00182723" w:rsidP="00182723">
      <w:pPr>
        <w:spacing w:line="580" w:lineRule="exact"/>
        <w:ind w:firstLineChars="200" w:firstLine="640"/>
        <w:rPr>
          <w:rFonts w:ascii="黑体" w:eastAsia="黑体" w:hAnsi="黑体"/>
          <w:sz w:val="32"/>
          <w:szCs w:val="32"/>
        </w:rPr>
      </w:pPr>
      <w:r w:rsidRPr="00182723">
        <w:rPr>
          <w:rFonts w:ascii="黑体" w:eastAsia="黑体" w:hAnsi="黑体" w:hint="eastAsia"/>
          <w:sz w:val="32"/>
          <w:szCs w:val="32"/>
        </w:rPr>
        <w:t>三、项目水土保持评价</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一）同意工程选址选线制约性因素、主体工程方案比选、工程总体布局、工程占地、土石方平衡、弃渣场选址的合理性、主体工程施工组织、主体工程施工工艺、主体工程管理、工程建设对水土流失的影响因素等在水土保持方面的分析和评价结论。从水土保持角度分析，本工程建设不存在绝对制约性因素，工程建设可行。</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（二）同意主体工程设计的水土保持措施分析与评价结论。主体工程设计考虑了截排水工程、拦挡、苫盖以及绿化措施等。</w:t>
      </w:r>
    </w:p>
    <w:p w:rsidR="00182723" w:rsidRPr="00182723" w:rsidRDefault="00182723" w:rsidP="00182723">
      <w:pPr>
        <w:spacing w:line="580" w:lineRule="exact"/>
        <w:ind w:firstLineChars="200" w:firstLine="640"/>
        <w:rPr>
          <w:rFonts w:ascii="黑体" w:eastAsia="黑体" w:hAnsi="黑体"/>
          <w:sz w:val="32"/>
          <w:szCs w:val="32"/>
        </w:rPr>
      </w:pPr>
      <w:r w:rsidRPr="00182723">
        <w:rPr>
          <w:rFonts w:ascii="黑体" w:eastAsia="黑体" w:hAnsi="黑体" w:hint="eastAsia"/>
          <w:sz w:val="32"/>
          <w:szCs w:val="32"/>
        </w:rPr>
        <w:t>四、水土流失分析与预测</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（一）同意本工程水土流失预测范围、预测时段、预测内容和预测方法。</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（二）同意水土流失预测成果及其综合分析结论。本工程扰动地表面积为4.01公顷，损坏水土保持设施面积为4.01公顷，</w:t>
      </w:r>
      <w:r w:rsidRPr="00182723">
        <w:rPr>
          <w:rFonts w:ascii="仿宋_GB2312" w:eastAsia="仿宋_GB2312" w:hint="eastAsia"/>
          <w:sz w:val="32"/>
          <w:szCs w:val="32"/>
        </w:rPr>
        <w:lastRenderedPageBreak/>
        <w:t>需缴纳水土保持补偿费面积为4.01公顷（40091m</w:t>
      </w:r>
      <w:r w:rsidRPr="00182723">
        <w:rPr>
          <w:rFonts w:ascii="仿宋_GB2312" w:eastAsia="仿宋_GB2312" w:hint="eastAsia"/>
          <w:sz w:val="32"/>
          <w:szCs w:val="32"/>
          <w:vertAlign w:val="superscript"/>
        </w:rPr>
        <w:t>2</w:t>
      </w:r>
      <w:r w:rsidRPr="00182723">
        <w:rPr>
          <w:rFonts w:ascii="仿宋_GB2312" w:eastAsia="仿宋_GB2312" w:hint="eastAsia"/>
          <w:sz w:val="32"/>
          <w:szCs w:val="32"/>
        </w:rPr>
        <w:t>）。据编制单位测算，若不采取有效的防治措施，工程建设可能产生土壤流失预测总量为416.6t，其中背景土壤流失量为60.2t，新增土壤流失量为356.4t。本项目主要的时段为施工期，主要新增土壤流失量分区为路基工程区、绿化工程区和植草护坡区。</w:t>
      </w:r>
    </w:p>
    <w:p w:rsidR="00182723" w:rsidRPr="00182723" w:rsidRDefault="00182723" w:rsidP="00182723">
      <w:pPr>
        <w:spacing w:line="580" w:lineRule="exact"/>
        <w:ind w:firstLineChars="200" w:firstLine="640"/>
        <w:rPr>
          <w:rFonts w:ascii="黑体" w:eastAsia="黑体" w:hAnsi="黑体"/>
          <w:sz w:val="32"/>
          <w:szCs w:val="32"/>
        </w:rPr>
      </w:pPr>
      <w:r w:rsidRPr="00182723">
        <w:rPr>
          <w:rFonts w:ascii="黑体" w:eastAsia="黑体" w:hAnsi="黑体" w:hint="eastAsia"/>
          <w:sz w:val="32"/>
          <w:szCs w:val="32"/>
        </w:rPr>
        <w:t>五、水土保持措施</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一）同意水土流失防治责任范围的界定和防治分区划分。项目区划分为道路工程区、填方边坡区和改路、改沟工程区3个水土流失防治一级分区，同时将道路工程区进一步划分为路基工程区、绿化工程区2个水土流失防治二级分区；将填方边坡区进一步划分为浆砌石护坡区、植草护坡区2个水土流失防治二级分区。</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（二）同意水土流失防治措施布设原则、措施体系和总体布局。</w:t>
      </w:r>
    </w:p>
    <w:p w:rsidR="00182723" w:rsidRPr="00182723" w:rsidRDefault="00182723" w:rsidP="00182723">
      <w:pPr>
        <w:spacing w:line="580" w:lineRule="exact"/>
        <w:ind w:firstLineChars="200" w:firstLine="640"/>
        <w:rPr>
          <w:rFonts w:ascii="楷体" w:eastAsia="楷体" w:hAnsi="楷体"/>
          <w:sz w:val="32"/>
          <w:szCs w:val="32"/>
        </w:rPr>
      </w:pPr>
      <w:r w:rsidRPr="00182723">
        <w:rPr>
          <w:rFonts w:ascii="楷体" w:eastAsia="楷体" w:hAnsi="楷体" w:hint="eastAsia"/>
          <w:sz w:val="32"/>
          <w:szCs w:val="32"/>
        </w:rPr>
        <w:t>1.道路工程区</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（1）路基工程区</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同意项目施工期间，沿路基两侧布置了临时排水沟，并在排水沟沿途及排水出口处布置了沉沙池，有效控制了场内雨水的排放；针对路基开挖和回填所导致的裸露地表以及土方堆放点则采用了塑料薄膜覆盖防护，有效降低了雨水对扰动地表的冲刷，从而有力地控制了施工过程中的水土流失。方案考虑下阶段施工对场内堆放的、用于后续回填和利用的土方以及砂石料等采用彩条</w:t>
      </w:r>
      <w:r w:rsidRPr="00182723">
        <w:rPr>
          <w:rFonts w:ascii="仿宋_GB2312" w:eastAsia="仿宋_GB2312" w:hint="eastAsia"/>
          <w:sz w:val="32"/>
          <w:szCs w:val="32"/>
        </w:rPr>
        <w:lastRenderedPageBreak/>
        <w:t>布进行覆盖防护，以防止其遭受雨水的冲刷和侵蚀。</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（2）绿化工程区</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同意项目施工期间，场内雨水的排导主要依托路基工程区所实施的排水设施，从而有效控制了雨水的排放。方案考虑下阶段植被复绿期间增设彩条布覆盖防护，以防止雨水直接冲刷景观作物。</w:t>
      </w:r>
    </w:p>
    <w:p w:rsidR="00182723" w:rsidRPr="00182723" w:rsidRDefault="00182723" w:rsidP="00182723">
      <w:pPr>
        <w:spacing w:line="580" w:lineRule="exact"/>
        <w:ind w:firstLineChars="200" w:firstLine="640"/>
        <w:rPr>
          <w:rFonts w:ascii="楷体" w:eastAsia="楷体" w:hAnsi="楷体"/>
          <w:sz w:val="32"/>
          <w:szCs w:val="32"/>
        </w:rPr>
      </w:pPr>
      <w:r w:rsidRPr="00182723">
        <w:rPr>
          <w:rFonts w:ascii="楷体" w:eastAsia="楷体" w:hAnsi="楷体" w:hint="eastAsia"/>
          <w:sz w:val="32"/>
          <w:szCs w:val="32"/>
        </w:rPr>
        <w:t>2.填方边坡区</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（1）浆砌石护坡区</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同意项目施工期间，针对裸露的边坡坡面采用了塑料薄膜覆盖防护，有效降低了雨水对扰动坡面的冲刷，从而有力地控制了施工过程中的水土流失。目前，扰动坡面已按设计要求完成浆砌石护坡防护工作，场内未发现明显的水土流失现象，无需新增防护措施。</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（2）植草护坡区</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同意项目施工期间，沿边坡坡底布置了临时排水沟和沉沙池用于场内雨水的排导，有效控制了雨水径流中的泥沙排至项目区外；针对裸露的边坡坡面则采用了塑料薄膜覆盖防护，有效降低了雨水对扰动坡面的冲刷，从而有力地控制了施工过程中的水土流失。方案考虑下阶段植被复绿期间增设彩条布覆盖防护，以防止雨水直接冲刷景观作物。</w:t>
      </w:r>
    </w:p>
    <w:p w:rsidR="00182723" w:rsidRPr="00182723" w:rsidRDefault="00182723" w:rsidP="00182723">
      <w:pPr>
        <w:spacing w:line="580" w:lineRule="exact"/>
        <w:ind w:firstLineChars="200" w:firstLine="640"/>
        <w:rPr>
          <w:rFonts w:ascii="楷体" w:eastAsia="楷体" w:hAnsi="楷体"/>
          <w:sz w:val="32"/>
          <w:szCs w:val="32"/>
        </w:rPr>
      </w:pPr>
      <w:r w:rsidRPr="00182723">
        <w:rPr>
          <w:rFonts w:ascii="楷体" w:eastAsia="楷体" w:hAnsi="楷体" w:hint="eastAsia"/>
          <w:sz w:val="32"/>
          <w:szCs w:val="32"/>
        </w:rPr>
        <w:t>3.改路、改沟工程区</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同意项目施工期间，沿用地一侧布置了临时排水沟和沉沙池</w:t>
      </w:r>
      <w:r w:rsidRPr="00182723">
        <w:rPr>
          <w:rFonts w:ascii="仿宋_GB2312" w:eastAsia="仿宋_GB2312" w:hint="eastAsia"/>
          <w:sz w:val="32"/>
          <w:szCs w:val="32"/>
        </w:rPr>
        <w:lastRenderedPageBreak/>
        <w:t>用于场内雨水的排导，有效控制了雨水径流中的泥沙排至项目区外。方案考虑下阶段施工对场内裸露地表以及零散堆土采用彩条布覆盖防护。</w:t>
      </w:r>
    </w:p>
    <w:p w:rsidR="00182723" w:rsidRPr="00182723" w:rsidRDefault="00182723" w:rsidP="00182723">
      <w:pPr>
        <w:spacing w:line="580" w:lineRule="exact"/>
        <w:ind w:firstLineChars="200" w:firstLine="640"/>
        <w:rPr>
          <w:rFonts w:ascii="黑体" w:eastAsia="黑体" w:hAnsi="黑体"/>
          <w:sz w:val="32"/>
          <w:szCs w:val="32"/>
        </w:rPr>
      </w:pPr>
      <w:r w:rsidRPr="00182723">
        <w:rPr>
          <w:rFonts w:ascii="黑体" w:eastAsia="黑体" w:hAnsi="黑体" w:hint="eastAsia"/>
          <w:sz w:val="32"/>
          <w:szCs w:val="32"/>
        </w:rPr>
        <w:t>六、水土保持监测</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（一）同意水土保持监测时段、监测内容、监测方法和监测频次。重点做好雨季施工的监测工作，监测时段应从施工准备期开始。</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（二）同意初定的监测点位布设，下阶段应根据施工组织设计，进一步优化监测点布设和监测方法。</w:t>
      </w:r>
    </w:p>
    <w:p w:rsidR="00182723" w:rsidRPr="00182723" w:rsidRDefault="00182723" w:rsidP="00182723">
      <w:pPr>
        <w:spacing w:line="580" w:lineRule="exact"/>
        <w:ind w:firstLineChars="200" w:firstLine="640"/>
        <w:rPr>
          <w:rFonts w:ascii="黑体" w:eastAsia="黑体" w:hAnsi="黑体"/>
          <w:sz w:val="32"/>
          <w:szCs w:val="32"/>
        </w:rPr>
      </w:pPr>
      <w:r w:rsidRPr="00182723">
        <w:rPr>
          <w:rFonts w:ascii="黑体" w:eastAsia="黑体" w:hAnsi="黑体" w:hint="eastAsia"/>
          <w:sz w:val="32"/>
          <w:szCs w:val="32"/>
        </w:rPr>
        <w:t>七、投资估算及效益分析</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（一）同意投资估算的编制办法及定额依据。</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二）经审核，本工程水土保持工程估算总投资为220.565万元。主体已列投资约167.09万元，方案新增投资53.475万元。新增水土保持投资估算中包括工程措施费0万元，植物措施费0万元，监测措施费8.67万元，临时措施费2.23万元，独立费用35.53万元（其中建设单位管理费0.33万元，经济技术咨询费20.22万元，水土保持监理费0.36万元，工程造价咨询服务费4.50万元，勘测设计费0.26万元，水土保持设施验收费9.86万元），基本预备费4.64万元，水土保持补偿费为24054.6元。</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（三）同意本工程水土保持效益分析方法和内容。实施本方案各项防治措施后，设计水平年六项指标可达到或超过防治目标</w:t>
      </w:r>
      <w:r w:rsidRPr="00182723">
        <w:rPr>
          <w:rFonts w:ascii="仿宋_GB2312" w:eastAsia="仿宋_GB2312" w:hint="eastAsia"/>
          <w:sz w:val="32"/>
          <w:szCs w:val="32"/>
        </w:rPr>
        <w:lastRenderedPageBreak/>
        <w:t>值。</w:t>
      </w:r>
    </w:p>
    <w:p w:rsidR="00182723" w:rsidRPr="00182723" w:rsidRDefault="00182723" w:rsidP="00182723">
      <w:pPr>
        <w:spacing w:line="580" w:lineRule="exact"/>
        <w:ind w:firstLineChars="200" w:firstLine="640"/>
        <w:rPr>
          <w:rFonts w:ascii="黑体" w:eastAsia="黑体" w:hAnsi="黑体"/>
          <w:sz w:val="32"/>
          <w:szCs w:val="32"/>
        </w:rPr>
      </w:pPr>
      <w:r w:rsidRPr="00182723">
        <w:rPr>
          <w:rFonts w:ascii="黑体" w:eastAsia="黑体" w:hAnsi="黑体" w:hint="eastAsia"/>
          <w:sz w:val="32"/>
          <w:szCs w:val="32"/>
        </w:rPr>
        <w:t>八、水土保持管理</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同意编制单位制定的本《水保方案》水土保持管理措施。</w:t>
      </w:r>
    </w:p>
    <w:p w:rsidR="00182723" w:rsidRPr="00182723" w:rsidRDefault="00182723" w:rsidP="00182723">
      <w:pPr>
        <w:spacing w:line="580" w:lineRule="exact"/>
        <w:ind w:firstLineChars="200" w:firstLine="640"/>
        <w:rPr>
          <w:rFonts w:ascii="仿宋_GB2312" w:eastAsia="仿宋_GB2312"/>
          <w:sz w:val="32"/>
          <w:szCs w:val="32"/>
        </w:rPr>
      </w:pPr>
      <w:r w:rsidRPr="00182723">
        <w:rPr>
          <w:rFonts w:ascii="仿宋_GB2312" w:eastAsia="仿宋_GB2312" w:hint="eastAsia"/>
          <w:sz w:val="32"/>
          <w:szCs w:val="32"/>
        </w:rPr>
        <w:t>综上所述，经审查，《银鹭大道东延线（兼顾城市道路功能）工程水土保持方案报告书》的编制满足有关技术规范和要求，同意通过评审，可上报审批。</w:t>
      </w:r>
    </w:p>
    <w:p w:rsidR="0073397D" w:rsidRPr="00182723" w:rsidRDefault="0073397D" w:rsidP="00182723">
      <w:pPr>
        <w:spacing w:line="580" w:lineRule="exact"/>
        <w:ind w:firstLineChars="200" w:firstLine="640"/>
        <w:rPr>
          <w:rFonts w:ascii="仿宋_GB2312" w:eastAsia="仿宋_GB2312"/>
          <w:sz w:val="32"/>
          <w:szCs w:val="32"/>
        </w:rPr>
      </w:pPr>
    </w:p>
    <w:p w:rsidR="0073397D" w:rsidRPr="00182723" w:rsidRDefault="0073397D" w:rsidP="00182723">
      <w:pPr>
        <w:spacing w:line="580" w:lineRule="exact"/>
        <w:ind w:firstLineChars="200" w:firstLine="640"/>
        <w:rPr>
          <w:rFonts w:ascii="仿宋_GB2312" w:eastAsia="仿宋_GB2312"/>
          <w:sz w:val="32"/>
          <w:szCs w:val="32"/>
        </w:rPr>
      </w:pPr>
    </w:p>
    <w:p w:rsidR="00F96F83" w:rsidRPr="00B66B75" w:rsidRDefault="00F96F83" w:rsidP="00F96F83">
      <w:pPr>
        <w:spacing w:line="580" w:lineRule="exact"/>
        <w:ind w:rightChars="518" w:right="1088"/>
        <w:jc w:val="right"/>
        <w:rPr>
          <w:rFonts w:ascii="仿宋_GB2312" w:eastAsia="仿宋_GB2312"/>
          <w:sz w:val="32"/>
          <w:szCs w:val="32"/>
        </w:rPr>
      </w:pPr>
      <w:r w:rsidRPr="00B66B75">
        <w:rPr>
          <w:rFonts w:ascii="仿宋_GB2312" w:eastAsia="仿宋_GB2312" w:hint="eastAsia"/>
          <w:sz w:val="32"/>
          <w:szCs w:val="32"/>
        </w:rPr>
        <w:t>江门市新会区水利局</w:t>
      </w:r>
    </w:p>
    <w:p w:rsidR="00F96F83" w:rsidRPr="00B66B75" w:rsidRDefault="00F96F83" w:rsidP="00F96F83">
      <w:pPr>
        <w:spacing w:line="580" w:lineRule="exact"/>
        <w:ind w:rightChars="598" w:right="1256"/>
        <w:jc w:val="right"/>
        <w:rPr>
          <w:rFonts w:ascii="仿宋_GB2312" w:eastAsia="仿宋_GB2312"/>
          <w:sz w:val="32"/>
          <w:szCs w:val="32"/>
        </w:rPr>
      </w:pPr>
      <w:r w:rsidRPr="00B66B75">
        <w:rPr>
          <w:rFonts w:ascii="仿宋_GB2312" w:eastAsia="仿宋_GB2312" w:hint="eastAsia"/>
          <w:sz w:val="32"/>
          <w:szCs w:val="32"/>
        </w:rPr>
        <w:t>2026年3月</w:t>
      </w:r>
      <w:r w:rsidR="00182723">
        <w:rPr>
          <w:rFonts w:ascii="仿宋_GB2312" w:eastAsia="仿宋_GB2312"/>
          <w:sz w:val="32"/>
          <w:szCs w:val="32"/>
        </w:rPr>
        <w:t>2</w:t>
      </w:r>
      <w:r w:rsidRPr="00B66B75">
        <w:rPr>
          <w:rFonts w:ascii="仿宋_GB2312" w:eastAsia="仿宋_GB2312" w:hint="eastAsia"/>
          <w:sz w:val="32"/>
          <w:szCs w:val="32"/>
        </w:rPr>
        <w:t>3日</w:t>
      </w:r>
    </w:p>
    <w:sectPr w:rsidR="00F96F83" w:rsidRPr="00B66B75"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800002BF" w:usb1="184F6C78" w:usb2="00000012"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A86BBF" w:rsidRPr="00A86BBF">
          <w:rPr>
            <w:rFonts w:asciiTheme="minorEastAsia" w:hAnsiTheme="minorEastAsia"/>
            <w:noProof/>
            <w:sz w:val="28"/>
            <w:szCs w:val="28"/>
            <w:lang w:val="zh-CN"/>
          </w:rPr>
          <w:t>-</w:t>
        </w:r>
        <w:r w:rsidR="00A86BBF">
          <w:rPr>
            <w:rFonts w:asciiTheme="minorEastAsia" w:hAnsiTheme="minorEastAsia"/>
            <w:noProof/>
            <w:sz w:val="28"/>
            <w:szCs w:val="28"/>
          </w:rPr>
          <w:t xml:space="preserve"> 6 -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A86BBF" w:rsidRPr="00A86BBF">
          <w:rPr>
            <w:rFonts w:asciiTheme="minorEastAsia" w:hAnsiTheme="minorEastAsia"/>
            <w:noProof/>
            <w:sz w:val="28"/>
            <w:szCs w:val="28"/>
            <w:lang w:val="zh-CN"/>
          </w:rPr>
          <w:t>-</w:t>
        </w:r>
        <w:r w:rsidR="00A86BBF">
          <w:rPr>
            <w:rFonts w:asciiTheme="minorEastAsia" w:hAnsiTheme="minorEastAsia"/>
            <w:noProof/>
            <w:sz w:val="28"/>
            <w:szCs w:val="28"/>
          </w:rPr>
          <w:t xml:space="preserve"> 7 -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85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2723"/>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4160"/>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92C3B"/>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0DC3"/>
    <w:rsid w:val="00304767"/>
    <w:rsid w:val="00306097"/>
    <w:rsid w:val="0030709D"/>
    <w:rsid w:val="00311F92"/>
    <w:rsid w:val="0031360C"/>
    <w:rsid w:val="00315298"/>
    <w:rsid w:val="0032202C"/>
    <w:rsid w:val="003227E3"/>
    <w:rsid w:val="0033348F"/>
    <w:rsid w:val="003358F3"/>
    <w:rsid w:val="00335A0B"/>
    <w:rsid w:val="00336F3F"/>
    <w:rsid w:val="0034070E"/>
    <w:rsid w:val="00342505"/>
    <w:rsid w:val="00345C78"/>
    <w:rsid w:val="003472C9"/>
    <w:rsid w:val="0035103F"/>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46BDB"/>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3CBC"/>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48BD"/>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4D4D"/>
    <w:rsid w:val="007A5710"/>
    <w:rsid w:val="007A7672"/>
    <w:rsid w:val="007B2129"/>
    <w:rsid w:val="007C1D67"/>
    <w:rsid w:val="007D0921"/>
    <w:rsid w:val="007D1445"/>
    <w:rsid w:val="007D1D66"/>
    <w:rsid w:val="007D2163"/>
    <w:rsid w:val="007D45DF"/>
    <w:rsid w:val="007D6DFB"/>
    <w:rsid w:val="007E0966"/>
    <w:rsid w:val="007E1C00"/>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27292"/>
    <w:rsid w:val="00832929"/>
    <w:rsid w:val="00832D7C"/>
    <w:rsid w:val="00841122"/>
    <w:rsid w:val="00847A46"/>
    <w:rsid w:val="00851434"/>
    <w:rsid w:val="00853646"/>
    <w:rsid w:val="00853FB2"/>
    <w:rsid w:val="008542D5"/>
    <w:rsid w:val="008551D5"/>
    <w:rsid w:val="008561C4"/>
    <w:rsid w:val="008564B5"/>
    <w:rsid w:val="008569CD"/>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2B3C"/>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558"/>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86BBF"/>
    <w:rsid w:val="00A947AD"/>
    <w:rsid w:val="00A95043"/>
    <w:rsid w:val="00A95F0B"/>
    <w:rsid w:val="00AA0B3C"/>
    <w:rsid w:val="00AA1CCB"/>
    <w:rsid w:val="00AA26AC"/>
    <w:rsid w:val="00AB05E9"/>
    <w:rsid w:val="00AB23B0"/>
    <w:rsid w:val="00AB2D99"/>
    <w:rsid w:val="00AB4992"/>
    <w:rsid w:val="00AB65E3"/>
    <w:rsid w:val="00AB7A63"/>
    <w:rsid w:val="00AC3C9D"/>
    <w:rsid w:val="00AC5415"/>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47D15"/>
    <w:rsid w:val="00B5230E"/>
    <w:rsid w:val="00B57A1C"/>
    <w:rsid w:val="00B60483"/>
    <w:rsid w:val="00B66B75"/>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464"/>
    <w:rsid w:val="00D10BD6"/>
    <w:rsid w:val="00D12C87"/>
    <w:rsid w:val="00D262CC"/>
    <w:rsid w:val="00D31805"/>
    <w:rsid w:val="00D42FD0"/>
    <w:rsid w:val="00D51B14"/>
    <w:rsid w:val="00D52622"/>
    <w:rsid w:val="00D53356"/>
    <w:rsid w:val="00D53557"/>
    <w:rsid w:val="00D5588B"/>
    <w:rsid w:val="00D60B54"/>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A7E93"/>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256F"/>
    <w:rsid w:val="00F23B9E"/>
    <w:rsid w:val="00F270E7"/>
    <w:rsid w:val="00F27D1A"/>
    <w:rsid w:val="00F308B3"/>
    <w:rsid w:val="00F37961"/>
    <w:rsid w:val="00F40ECF"/>
    <w:rsid w:val="00F43893"/>
    <w:rsid w:val="00F46468"/>
    <w:rsid w:val="00F52471"/>
    <w:rsid w:val="00F52764"/>
    <w:rsid w:val="00F54941"/>
    <w:rsid w:val="00F559C6"/>
    <w:rsid w:val="00F57921"/>
    <w:rsid w:val="00F601A9"/>
    <w:rsid w:val="00F6240D"/>
    <w:rsid w:val="00F723A7"/>
    <w:rsid w:val="00F80D86"/>
    <w:rsid w:val="00F90D13"/>
    <w:rsid w:val="00F96F8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68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199E8EF"/>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ADC1-220B-40C5-9145-A8F734B8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477</Words>
  <Characters>2722</Characters>
  <Application>Microsoft Office Word</Application>
  <DocSecurity>0</DocSecurity>
  <Lines>22</Lines>
  <Paragraphs>6</Paragraphs>
  <ScaleCrop>false</ScaleCrop>
  <Company>WwW.YlmF.CoM</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2026-03-23T08:44:00Z</dcterms:created>
  <dcterms:modified xsi:type="dcterms:W3CDTF">2026-03-23T08:44:00Z</dcterms:modified>
</cp:coreProperties>
</file>