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230BA6" w:rsidRDefault="00151C64" w:rsidP="00230BA6">
      <w:pPr>
        <w:spacing w:line="660" w:lineRule="exact"/>
        <w:jc w:val="center"/>
        <w:rPr>
          <w:rFonts w:ascii="方正小标宋简体" w:eastAsia="方正小标宋简体"/>
          <w:b/>
          <w:sz w:val="44"/>
          <w:szCs w:val="44"/>
        </w:rPr>
      </w:pPr>
    </w:p>
    <w:p w:rsidR="00230BA6" w:rsidRDefault="00230BA6" w:rsidP="00230BA6">
      <w:pPr>
        <w:spacing w:line="660" w:lineRule="exact"/>
        <w:jc w:val="center"/>
        <w:rPr>
          <w:rFonts w:ascii="方正小标宋简体" w:eastAsia="方正小标宋简体"/>
          <w:b/>
          <w:sz w:val="44"/>
          <w:szCs w:val="44"/>
        </w:rPr>
      </w:pPr>
      <w:bookmarkStart w:id="0" w:name="_GoBack"/>
      <w:r w:rsidRPr="00230BA6">
        <w:rPr>
          <w:rFonts w:ascii="方正小标宋简体" w:eastAsia="方正小标宋简体" w:hint="eastAsia"/>
          <w:b/>
          <w:sz w:val="44"/>
          <w:szCs w:val="44"/>
        </w:rPr>
        <w:t>广东省江门市新会区沙堆工业园区基础设施</w:t>
      </w:r>
    </w:p>
    <w:p w:rsidR="00230BA6" w:rsidRDefault="00230BA6" w:rsidP="00230BA6">
      <w:pPr>
        <w:spacing w:line="660" w:lineRule="exact"/>
        <w:jc w:val="center"/>
        <w:rPr>
          <w:rFonts w:ascii="方正小标宋简体" w:eastAsia="方正小标宋简体"/>
          <w:b/>
          <w:sz w:val="44"/>
          <w:szCs w:val="44"/>
        </w:rPr>
      </w:pPr>
      <w:r w:rsidRPr="00230BA6">
        <w:rPr>
          <w:rFonts w:ascii="方正小标宋简体" w:eastAsia="方正小标宋简体" w:hint="eastAsia"/>
          <w:b/>
          <w:sz w:val="44"/>
          <w:szCs w:val="44"/>
        </w:rPr>
        <w:t>配套工程（那伏工业园部分）水土保持</w:t>
      </w:r>
    </w:p>
    <w:p w:rsidR="00230BA6" w:rsidRPr="00230BA6" w:rsidRDefault="00230BA6" w:rsidP="00230BA6">
      <w:pPr>
        <w:spacing w:line="660" w:lineRule="exact"/>
        <w:jc w:val="center"/>
        <w:rPr>
          <w:rFonts w:ascii="方正小标宋简体" w:eastAsia="方正小标宋简体"/>
          <w:b/>
          <w:sz w:val="44"/>
          <w:szCs w:val="44"/>
        </w:rPr>
      </w:pPr>
      <w:r w:rsidRPr="00230BA6">
        <w:rPr>
          <w:rFonts w:ascii="方正小标宋简体" w:eastAsia="方正小标宋简体" w:hint="eastAsia"/>
          <w:b/>
          <w:sz w:val="44"/>
          <w:szCs w:val="44"/>
        </w:rPr>
        <w:t>方案报告书技术审查意见</w:t>
      </w:r>
    </w:p>
    <w:bookmarkEnd w:id="0"/>
    <w:p w:rsidR="00230BA6" w:rsidRPr="00230BA6" w:rsidRDefault="00230BA6" w:rsidP="00230BA6">
      <w:pPr>
        <w:spacing w:line="660" w:lineRule="exact"/>
        <w:jc w:val="center"/>
        <w:rPr>
          <w:rFonts w:ascii="方正小标宋简体" w:eastAsia="方正小标宋简体"/>
          <w:b/>
          <w:sz w:val="44"/>
          <w:szCs w:val="44"/>
        </w:rPr>
      </w:pP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广东省江门市新会区沙堆工业园区基础设施配套工程（那伏工业园部分）位于江门市新会区沙堆镇那伏村。广东省江门市新会区沙堆工业园区基础设施配套工程（那伏工业园部分）（以下简称“工程”）建设的主要内容建市政道路2142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，绿化长廊720m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，那伏工业园污水处理厂，污水管网459m，土地整理117419m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。项目工程占地面积15.57hm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，其中永久占地面积约14.51hm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，临时占地面积约1.06hm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。项目总开挖总量约1.74万m</w:t>
      </w:r>
      <w:r w:rsidRPr="00230BA6">
        <w:rPr>
          <w:rFonts w:ascii="仿宋_GB2312" w:eastAsia="仿宋_GB2312" w:hint="eastAsia"/>
          <w:sz w:val="32"/>
          <w:szCs w:val="32"/>
          <w:vertAlign w:val="superscript"/>
        </w:rPr>
        <w:t>3</w:t>
      </w:r>
      <w:r w:rsidRPr="00230BA6">
        <w:rPr>
          <w:rFonts w:ascii="仿宋_GB2312" w:eastAsia="仿宋_GB2312" w:hint="eastAsia"/>
          <w:sz w:val="32"/>
          <w:szCs w:val="32"/>
        </w:rPr>
        <w:t>；回填总量约19.36万m</w:t>
      </w:r>
      <w:r w:rsidRPr="00230BA6">
        <w:rPr>
          <w:rFonts w:ascii="仿宋_GB2312" w:eastAsia="仿宋_GB2312" w:hint="eastAsia"/>
          <w:sz w:val="32"/>
          <w:szCs w:val="32"/>
          <w:vertAlign w:val="superscript"/>
        </w:rPr>
        <w:t>3</w:t>
      </w:r>
      <w:r w:rsidRPr="00230BA6">
        <w:rPr>
          <w:rFonts w:ascii="仿宋_GB2312" w:eastAsia="仿宋_GB2312" w:hint="eastAsia"/>
          <w:sz w:val="32"/>
          <w:szCs w:val="32"/>
        </w:rPr>
        <w:t>；借方约17.62万m</w:t>
      </w:r>
      <w:r w:rsidRPr="00230BA6">
        <w:rPr>
          <w:rFonts w:ascii="仿宋_GB2312" w:eastAsia="仿宋_GB2312" w:hint="eastAsia"/>
          <w:sz w:val="32"/>
          <w:szCs w:val="32"/>
          <w:vertAlign w:val="superscript"/>
        </w:rPr>
        <w:t>3</w:t>
      </w:r>
      <w:r w:rsidRPr="00230BA6">
        <w:rPr>
          <w:rFonts w:ascii="仿宋_GB2312" w:eastAsia="仿宋_GB2312" w:hint="eastAsia"/>
          <w:sz w:val="32"/>
          <w:szCs w:val="32"/>
        </w:rPr>
        <w:t>；无弃方。工程概算总投资为4025.92万元，其中建安费3295.30万元。项目于2024年6月开工，预计2026年5月完工,总工期24个月。</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项目区为冲击平原，属亚热带季风气候区，多年平均气温22℃，多年平均降水量1784.6mm；土壤类型主要为赤红壤，地带性植被类型为亚热带季风常绿阔叶林。项目区属南方红壤丘陵区，以水力侵蚀为主，容许土壤流失量500t/（k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·a）。项目所在地均不属于国家、广东省、江门市和新会区划定的重点预防区。</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2026年4月21日，江门市新会区水利局在新会区主持召开</w:t>
      </w:r>
      <w:r w:rsidRPr="00230BA6">
        <w:rPr>
          <w:rFonts w:ascii="仿宋_GB2312" w:eastAsia="仿宋_GB2312" w:hint="eastAsia"/>
          <w:sz w:val="32"/>
          <w:szCs w:val="32"/>
        </w:rPr>
        <w:lastRenderedPageBreak/>
        <w:t>了《广东省江门市新会区沙堆工业园区基础设施配套工程（那伏工业园部分）水土保持方案报告书》（送审稿）（以下简称《水保方案》（送审稿））技术评审会，参加会议的有建设单位江门市新会区沙堆镇人民政府、主体工程设计单位中都工程设计有限公司、水保方案编制单位广东国仕工程咨询有限公司、沙堆产业促进服务中心等单位的代表和特邀专家。与会代表和专家查勘了拟建工程现场，听取了建设单位关于工程前期工作进展情况的介绍、主体工程设计单位关于设计方案的说明、《水保方案》编制单位关于编制成果的汇报，并进行了讨论。主要审查意见如下：</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一、综合说明</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（一）同意编制依据。</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（二）同意设计水平年为2026年。</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（三）同意水土流失防治责任范围的界定。根据编制单位测算，本工程水土流失防治责任范围15.57公顷。</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四）根据水利部办水保〔2013〕188号、《开发建设项目水土流失防治标准》（GB50434-2018）和广东省、江门市两区划分公告等有关规定，项目区所在地不属于项目所在地均不属于国家、广东省、江门市和新会区划定的重点预防区，同意水土流失防治标准执行南方红壤区二级标准。</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（五）同意水土流失防治目标值。至设计水平年水土流失治理度95%，土壤流失控制比1.0，渣土防护率、表土保护率不计列，林草植被恢复率95%，林草覆盖率22%。</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二、项目概况</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lastRenderedPageBreak/>
        <w:t>同意项目概况介绍。基本情况、项目组成及布置、施工组织、工程占地、土石方及其平衡情况、工程投资、进度安排、拆迁及安置等介绍清晰。</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三、项目水土保持评价</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工程选址选线制约性因素、主体工程方案比选、工程总体布局、工程占地、土石方平衡、弃渣场选址的合理性、主体工程施工组织、主体工程施工工艺、主体工程管理、工程建设对水土流失的影响因素等在水土保持方面的分析和评价结论。从水土保持角度分析，本工程建设不存在绝对制约性因素，工程建设可行。</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（二）同意主体工程设计的水土保持措施分析与评价结论。主体工程设计考虑了截排水工程、拦挡、苫盖以及绿化措施等。</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四、水土流失分析与预测</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（一）同意本工程水土流失预测范围、预测时段、预测内容和预测方法。</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（二）同意水土流失预测成果及其综合分析结论。本工程扰动地表面积为15.57公顷，损坏水土保持设施面积为15.57公顷，需缴纳水土保持补偿费面积为15.57公顷（155617m</w:t>
      </w:r>
      <w:r w:rsidRPr="00230BA6">
        <w:rPr>
          <w:rFonts w:ascii="仿宋_GB2312" w:eastAsia="仿宋_GB2312" w:hint="eastAsia"/>
          <w:sz w:val="32"/>
          <w:szCs w:val="32"/>
          <w:vertAlign w:val="superscript"/>
        </w:rPr>
        <w:t>2</w:t>
      </w:r>
      <w:r w:rsidRPr="00230BA6">
        <w:rPr>
          <w:rFonts w:ascii="仿宋_GB2312" w:eastAsia="仿宋_GB2312" w:hint="eastAsia"/>
          <w:sz w:val="32"/>
          <w:szCs w:val="32"/>
        </w:rPr>
        <w:t>）。据编制单位测算，若不采取有效的防治措施，工程建设可能产生土壤流失预测总量为52t，新增土壤流失量为18t。本项目主要的时段为自然恢复期，场地平整区是产生土壤流失的主要区域。</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五、水土保持措施</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（一）同意水土流失防治责任范围的界定和防治分区划分。</w:t>
      </w:r>
      <w:r w:rsidRPr="00230BA6">
        <w:rPr>
          <w:rFonts w:ascii="仿宋_GB2312" w:eastAsia="仿宋_GB2312" w:hint="eastAsia"/>
          <w:sz w:val="32"/>
          <w:szCs w:val="32"/>
        </w:rPr>
        <w:lastRenderedPageBreak/>
        <w:t>项目区划分为场地平整区、道路工程区、临时排水渠和污水管网区4个水土流失防治一级分区，不再划分二级防治分区。</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（二）同意水土流失防治措施布设原则、措施体系和总体布局。</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六、水土保持监测</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（一）同意水土保持监测时段、监测内容、监测方法和监测频次。重点做好雨季施工的监测工作，监测时段应从施工准备期开始。</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（二）同意初定的监测点位布设，下阶段应根据施工组织设计，进一步优化监测点布设和监测方法。</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七、投资估算及效益分析</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（一）同意投资估算的编制办法及定额依据。</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二）经审核，本工程水土保持工程估算总投资为121.92万元。主体已列投资约81.64万元，方案新增投资52.54万元。新增水土保持投资估算中工程措施为0万元，植物措施费0.01万元，监测措施费10.28万元，临时措施费0.94万元，独立费用16.90万元，基本预备费2.81万元，水土保持补偿费为93370.2元。</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（三）同意本工程水土保持效益分析方法和内容。实施本方案各项防治措施后，设计水平年六项指标可达到或超过防治目标值。</w:t>
      </w:r>
    </w:p>
    <w:p w:rsidR="00230BA6" w:rsidRPr="00230BA6" w:rsidRDefault="00230BA6" w:rsidP="00230BA6">
      <w:pPr>
        <w:spacing w:line="560" w:lineRule="exact"/>
        <w:ind w:firstLineChars="200" w:firstLine="640"/>
        <w:rPr>
          <w:rFonts w:ascii="黑体" w:eastAsia="黑体" w:hAnsi="黑体"/>
          <w:sz w:val="32"/>
          <w:szCs w:val="32"/>
        </w:rPr>
      </w:pPr>
      <w:r w:rsidRPr="00230BA6">
        <w:rPr>
          <w:rFonts w:ascii="黑体" w:eastAsia="黑体" w:hAnsi="黑体" w:hint="eastAsia"/>
          <w:sz w:val="32"/>
          <w:szCs w:val="32"/>
        </w:rPr>
        <w:t>八、水土保持管理</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t>同意编制单位制定的本《水保方案》水土保持管理措施。</w:t>
      </w:r>
    </w:p>
    <w:p w:rsidR="00230BA6" w:rsidRPr="00230BA6" w:rsidRDefault="00230BA6" w:rsidP="00230BA6">
      <w:pPr>
        <w:spacing w:line="560" w:lineRule="exact"/>
        <w:ind w:firstLineChars="200" w:firstLine="640"/>
        <w:rPr>
          <w:rFonts w:ascii="仿宋_GB2312" w:eastAsia="仿宋_GB2312"/>
          <w:sz w:val="32"/>
          <w:szCs w:val="32"/>
        </w:rPr>
      </w:pPr>
      <w:r w:rsidRPr="00230BA6">
        <w:rPr>
          <w:rFonts w:ascii="仿宋_GB2312" w:eastAsia="仿宋_GB2312" w:hint="eastAsia"/>
          <w:sz w:val="32"/>
          <w:szCs w:val="32"/>
        </w:rPr>
        <w:lastRenderedPageBreak/>
        <w:t>综上所述，经审查，《广东省江门市新会区沙堆工业园区基础设施配套工程（那伏工业园部分）水土保持方案报告书》的编制满足有关技术规范和要求，同意通过评审，可上报审批。</w:t>
      </w:r>
    </w:p>
    <w:p w:rsidR="0073397D" w:rsidRPr="00230BA6" w:rsidRDefault="0073397D" w:rsidP="00230BA6">
      <w:pPr>
        <w:spacing w:line="560" w:lineRule="exact"/>
        <w:ind w:firstLineChars="200" w:firstLine="640"/>
        <w:rPr>
          <w:rFonts w:ascii="仿宋_GB2312" w:eastAsia="仿宋_GB2312"/>
          <w:sz w:val="32"/>
          <w:szCs w:val="32"/>
        </w:rPr>
      </w:pPr>
    </w:p>
    <w:p w:rsidR="0073397D" w:rsidRPr="00230BA6" w:rsidRDefault="0073397D" w:rsidP="00230BA6">
      <w:pPr>
        <w:spacing w:line="560" w:lineRule="exact"/>
        <w:ind w:firstLineChars="200" w:firstLine="640"/>
        <w:rPr>
          <w:rFonts w:ascii="仿宋_GB2312" w:eastAsia="仿宋_GB2312"/>
          <w:sz w:val="32"/>
          <w:szCs w:val="32"/>
        </w:rPr>
      </w:pPr>
    </w:p>
    <w:p w:rsidR="00230BA6" w:rsidRPr="00230BA6" w:rsidRDefault="00230BA6" w:rsidP="00230BA6">
      <w:pPr>
        <w:spacing w:line="560" w:lineRule="exact"/>
        <w:ind w:rightChars="518" w:right="1088"/>
        <w:jc w:val="right"/>
        <w:rPr>
          <w:rFonts w:ascii="仿宋_GB2312" w:eastAsia="仿宋_GB2312"/>
          <w:sz w:val="32"/>
          <w:szCs w:val="32"/>
        </w:rPr>
      </w:pPr>
      <w:r w:rsidRPr="00230BA6">
        <w:rPr>
          <w:rFonts w:ascii="仿宋_GB2312" w:eastAsia="仿宋_GB2312" w:hint="eastAsia"/>
          <w:sz w:val="32"/>
          <w:szCs w:val="32"/>
        </w:rPr>
        <w:t>江门市新会区水利局</w:t>
      </w:r>
    </w:p>
    <w:p w:rsidR="00230BA6" w:rsidRPr="00230BA6" w:rsidRDefault="00230BA6" w:rsidP="00230BA6">
      <w:pPr>
        <w:spacing w:line="560" w:lineRule="exact"/>
        <w:ind w:rightChars="598" w:right="1256"/>
        <w:jc w:val="right"/>
        <w:rPr>
          <w:rFonts w:ascii="仿宋_GB2312" w:eastAsia="仿宋_GB2312"/>
          <w:sz w:val="32"/>
          <w:szCs w:val="32"/>
        </w:rPr>
      </w:pPr>
      <w:r w:rsidRPr="00230BA6">
        <w:rPr>
          <w:rFonts w:ascii="仿宋_GB2312" w:eastAsia="仿宋_GB2312" w:hint="eastAsia"/>
          <w:sz w:val="32"/>
          <w:szCs w:val="32"/>
        </w:rPr>
        <w:t>2026年5月20日</w:t>
      </w:r>
    </w:p>
    <w:sectPr w:rsidR="00230BA6" w:rsidRPr="00230BA6"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196" w:rsidRDefault="00B31196" w:rsidP="00466782">
      <w:r>
        <w:separator/>
      </w:r>
    </w:p>
  </w:endnote>
  <w:endnote w:type="continuationSeparator" w:id="0">
    <w:p w:rsidR="00B31196" w:rsidRDefault="00B31196"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14535" w:rsidRPr="00814535">
          <w:rPr>
            <w:rFonts w:asciiTheme="minorEastAsia" w:hAnsiTheme="minorEastAsia"/>
            <w:noProof/>
            <w:sz w:val="28"/>
            <w:szCs w:val="28"/>
            <w:lang w:val="zh-CN"/>
          </w:rPr>
          <w:t>-</w:t>
        </w:r>
        <w:r w:rsidR="00814535">
          <w:rPr>
            <w:rFonts w:asciiTheme="minorEastAsia" w:hAnsiTheme="minorEastAsia"/>
            <w:noProof/>
            <w:sz w:val="28"/>
            <w:szCs w:val="28"/>
          </w:rPr>
          <w:t xml:space="preserve"> 4 -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14535" w:rsidRPr="00814535">
          <w:rPr>
            <w:rFonts w:asciiTheme="minorEastAsia" w:hAnsiTheme="minorEastAsia"/>
            <w:noProof/>
            <w:sz w:val="28"/>
            <w:szCs w:val="28"/>
            <w:lang w:val="zh-CN"/>
          </w:rPr>
          <w:t>-</w:t>
        </w:r>
        <w:r w:rsidR="00814535">
          <w:rPr>
            <w:rFonts w:asciiTheme="minorEastAsia" w:hAnsiTheme="minorEastAsia"/>
            <w:noProof/>
            <w:sz w:val="28"/>
            <w:szCs w:val="28"/>
          </w:rPr>
          <w:t xml:space="preserve"> 5 -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196" w:rsidRDefault="00B31196" w:rsidP="00466782">
      <w:r>
        <w:separator/>
      </w:r>
    </w:p>
  </w:footnote>
  <w:footnote w:type="continuationSeparator" w:id="0">
    <w:p w:rsidR="00B31196" w:rsidRDefault="00B31196"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4535"/>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1196"/>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0CA2B"/>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5D3C2-CBA5-4A62-9BAD-6BB9E565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331</Words>
  <Characters>1889</Characters>
  <Application>Microsoft Office Word</Application>
  <DocSecurity>0</DocSecurity>
  <Lines>15</Lines>
  <Paragraphs>4</Paragraphs>
  <ScaleCrop>false</ScaleCrop>
  <Company>WwW.YlmF.CoM</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2026-05-21T06:51:00Z</dcterms:created>
  <dcterms:modified xsi:type="dcterms:W3CDTF">2026-05-21T06:51:00Z</dcterms:modified>
</cp:coreProperties>
</file>