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1035E9">
      <w:pPr>
        <w:spacing w:line="560" w:lineRule="exact"/>
        <w:jc w:val="center"/>
        <w:rPr>
          <w:rFonts w:hint="eastAsia" w:ascii="华文中宋" w:hAnsi="华文中宋" w:eastAsia="华文中宋" w:cs="华文中宋"/>
          <w:bCs/>
          <w:sz w:val="44"/>
          <w:szCs w:val="44"/>
        </w:rPr>
      </w:pPr>
      <w:r>
        <w:rPr>
          <w:rFonts w:hint="eastAsia" w:ascii="华文中宋" w:hAnsi="华文中宋" w:eastAsia="华文中宋" w:cs="华文中宋"/>
          <w:bCs/>
          <w:sz w:val="44"/>
          <w:szCs w:val="44"/>
        </w:rPr>
        <w:t>江门市新会区教师发展中心食堂</w:t>
      </w:r>
    </w:p>
    <w:p w14:paraId="3A0CE90B">
      <w:pPr>
        <w:spacing w:line="560" w:lineRule="exact"/>
        <w:jc w:val="center"/>
        <w:rPr>
          <w:rFonts w:ascii="华文中宋" w:hAnsi="华文中宋" w:eastAsia="华文中宋" w:cs="华文中宋"/>
          <w:bCs/>
          <w:sz w:val="44"/>
          <w:szCs w:val="44"/>
        </w:rPr>
      </w:pPr>
      <w:r>
        <w:rPr>
          <w:rFonts w:hint="eastAsia" w:ascii="华文中宋" w:hAnsi="华文中宋" w:eastAsia="华文中宋" w:cs="华文中宋"/>
          <w:bCs/>
          <w:sz w:val="44"/>
          <w:szCs w:val="44"/>
          <w:highlight w:val="none"/>
        </w:rPr>
        <w:t>委托经营</w:t>
      </w:r>
      <w:r>
        <w:rPr>
          <w:rFonts w:hint="eastAsia" w:ascii="华文中宋" w:hAnsi="华文中宋" w:eastAsia="华文中宋" w:cs="华文中宋"/>
          <w:bCs/>
          <w:sz w:val="44"/>
          <w:szCs w:val="44"/>
        </w:rPr>
        <w:t>比选项目采购文件</w:t>
      </w:r>
    </w:p>
    <w:p w14:paraId="367B28D1">
      <w:pPr>
        <w:spacing w:line="560" w:lineRule="exact"/>
        <w:jc w:val="center"/>
        <w:rPr>
          <w:rFonts w:ascii="仿宋" w:hAnsi="仿宋" w:eastAsia="仿宋"/>
          <w:b/>
          <w:sz w:val="32"/>
          <w:szCs w:val="32"/>
        </w:rPr>
      </w:pPr>
    </w:p>
    <w:p w14:paraId="69F66153">
      <w:pPr>
        <w:spacing w:line="560" w:lineRule="exact"/>
        <w:ind w:firstLine="640" w:firstLineChars="200"/>
        <w:rPr>
          <w:rFonts w:ascii="仿宋" w:hAnsi="仿宋" w:eastAsia="仿宋"/>
          <w:kern w:val="0"/>
          <w:sz w:val="32"/>
          <w:szCs w:val="32"/>
        </w:rPr>
      </w:pPr>
    </w:p>
    <w:p w14:paraId="0D60F2DF">
      <w:pPr>
        <w:widowControl/>
        <w:numPr>
          <w:ilvl w:val="0"/>
          <w:numId w:val="0"/>
        </w:numPr>
        <w:adjustRightInd w:val="0"/>
        <w:snapToGrid w:val="0"/>
        <w:spacing w:line="560" w:lineRule="exact"/>
        <w:jc w:val="center"/>
        <w:rPr>
          <w:rFonts w:ascii="黑体" w:hAnsi="黑体" w:eastAsia="黑体" w:cs="黑体"/>
          <w:kern w:val="0"/>
          <w:sz w:val="44"/>
          <w:szCs w:val="44"/>
        </w:rPr>
      </w:pPr>
      <w:r>
        <w:rPr>
          <w:rFonts w:hint="eastAsia" w:ascii="黑体" w:hAnsi="黑体" w:eastAsia="黑体" w:cs="黑体"/>
          <w:kern w:val="0"/>
          <w:sz w:val="44"/>
          <w:szCs w:val="44"/>
          <w:lang w:val="en-US" w:eastAsia="zh-CN"/>
        </w:rPr>
        <w:t xml:space="preserve">第一章 </w:t>
      </w:r>
      <w:r>
        <w:rPr>
          <w:rFonts w:hint="eastAsia" w:ascii="黑体" w:hAnsi="黑体" w:eastAsia="黑体" w:cs="黑体"/>
          <w:kern w:val="0"/>
          <w:sz w:val="44"/>
          <w:szCs w:val="44"/>
        </w:rPr>
        <w:t>比选邀请函</w:t>
      </w:r>
    </w:p>
    <w:p w14:paraId="2F79FD9B">
      <w:pPr>
        <w:widowControl/>
        <w:snapToGrid w:val="0"/>
        <w:spacing w:line="560" w:lineRule="exact"/>
        <w:ind w:hanging="5520"/>
        <w:jc w:val="left"/>
        <w:rPr>
          <w:rFonts w:ascii="仿宋" w:hAnsi="仿宋" w:eastAsia="仿宋"/>
          <w:b/>
          <w:bCs/>
          <w:kern w:val="0"/>
          <w:sz w:val="32"/>
          <w:szCs w:val="32"/>
        </w:rPr>
      </w:pPr>
    </w:p>
    <w:p w14:paraId="5393ADA1">
      <w:pPr>
        <w:widowControl/>
        <w:snapToGrid w:val="0"/>
        <w:spacing w:line="560" w:lineRule="exact"/>
        <w:ind w:firstLine="640" w:firstLineChars="200"/>
        <w:rPr>
          <w:rFonts w:hint="eastAsia" w:ascii="仿宋" w:hAnsi="仿宋" w:eastAsia="仿宋"/>
          <w:kern w:val="0"/>
          <w:sz w:val="32"/>
          <w:szCs w:val="32"/>
        </w:rPr>
      </w:pPr>
    </w:p>
    <w:p w14:paraId="5A22A87F">
      <w:pPr>
        <w:widowControl/>
        <w:snapToGrid w:val="0"/>
        <w:spacing w:line="560" w:lineRule="exact"/>
        <w:ind w:firstLine="640" w:firstLineChars="200"/>
        <w:rPr>
          <w:rFonts w:ascii="仿宋" w:hAnsi="仿宋" w:eastAsia="仿宋"/>
          <w:kern w:val="0"/>
          <w:sz w:val="32"/>
          <w:szCs w:val="32"/>
        </w:rPr>
      </w:pPr>
      <w:r>
        <w:rPr>
          <w:rFonts w:hint="eastAsia" w:ascii="仿宋" w:hAnsi="仿宋" w:eastAsia="仿宋"/>
          <w:kern w:val="0"/>
          <w:sz w:val="32"/>
          <w:szCs w:val="32"/>
        </w:rPr>
        <w:t>江门市新会区教师发展中心以</w:t>
      </w:r>
      <w:r>
        <w:rPr>
          <w:rFonts w:hint="eastAsia" w:ascii="仿宋" w:hAnsi="仿宋" w:eastAsia="仿宋"/>
          <w:kern w:val="0"/>
          <w:sz w:val="32"/>
          <w:szCs w:val="32"/>
          <w:lang w:val="en-US" w:eastAsia="zh-CN"/>
        </w:rPr>
        <w:t>公开</w:t>
      </w:r>
      <w:r>
        <w:rPr>
          <w:rFonts w:hint="eastAsia" w:ascii="仿宋" w:hAnsi="仿宋" w:eastAsia="仿宋"/>
          <w:kern w:val="0"/>
          <w:sz w:val="32"/>
          <w:szCs w:val="32"/>
        </w:rPr>
        <w:t>比选方式选定</w:t>
      </w:r>
      <w:r>
        <w:rPr>
          <w:rFonts w:hint="eastAsia" w:ascii="仿宋" w:hAnsi="仿宋" w:eastAsia="仿宋"/>
          <w:kern w:val="0"/>
          <w:sz w:val="32"/>
          <w:szCs w:val="32"/>
          <w:lang w:val="en-US" w:eastAsia="zh-CN"/>
        </w:rPr>
        <w:t>一间</w:t>
      </w:r>
      <w:r>
        <w:rPr>
          <w:rFonts w:hint="eastAsia" w:ascii="仿宋" w:hAnsi="仿宋" w:eastAsia="仿宋"/>
          <w:kern w:val="0"/>
          <w:sz w:val="32"/>
          <w:szCs w:val="32"/>
        </w:rPr>
        <w:t>餐饮服务公司提供食堂管理与餐饮服务，</w:t>
      </w:r>
      <w:r>
        <w:rPr>
          <w:rFonts w:hint="eastAsia" w:ascii="仿宋" w:hAnsi="仿宋" w:eastAsia="仿宋"/>
          <w:kern w:val="0"/>
          <w:sz w:val="32"/>
          <w:szCs w:val="32"/>
          <w:lang w:val="en-US" w:eastAsia="zh-CN"/>
        </w:rPr>
        <w:t>现将有关事项公告如下：</w:t>
      </w:r>
    </w:p>
    <w:p w14:paraId="09DCF15D">
      <w:pPr>
        <w:widowControl/>
        <w:numPr>
          <w:ilvl w:val="0"/>
          <w:numId w:val="1"/>
        </w:numPr>
        <w:spacing w:line="560" w:lineRule="exact"/>
        <w:ind w:firstLine="640" w:firstLineChars="200"/>
        <w:rPr>
          <w:rFonts w:ascii="黑体" w:hAnsi="黑体" w:eastAsia="黑体" w:cs="黑体"/>
          <w:color w:val="000000"/>
          <w:kern w:val="0"/>
          <w:sz w:val="32"/>
          <w:szCs w:val="32"/>
        </w:rPr>
      </w:pPr>
      <w:r>
        <w:rPr>
          <w:rFonts w:hint="eastAsia" w:ascii="黑体" w:hAnsi="黑体" w:eastAsia="黑体" w:cs="黑体"/>
          <w:color w:val="000000"/>
          <w:kern w:val="0"/>
          <w:sz w:val="32"/>
          <w:szCs w:val="32"/>
        </w:rPr>
        <w:t>项目概述</w:t>
      </w:r>
    </w:p>
    <w:p w14:paraId="0E8E1315">
      <w:pPr>
        <w:pStyle w:val="34"/>
        <w:widowControl/>
        <w:spacing w:line="560" w:lineRule="exact"/>
        <w:ind w:left="0" w:firstLine="640" w:firstLineChars="200"/>
        <w:contextualSpacing w:val="0"/>
        <w:rPr>
          <w:rFonts w:ascii="仿宋" w:hAnsi="仿宋" w:eastAsia="仿宋"/>
          <w:kern w:val="0"/>
          <w:sz w:val="32"/>
          <w:szCs w:val="32"/>
        </w:rPr>
      </w:pPr>
      <w:r>
        <w:rPr>
          <w:rFonts w:ascii="仿宋" w:hAnsi="仿宋" w:eastAsia="仿宋"/>
          <w:kern w:val="0"/>
          <w:sz w:val="32"/>
          <w:szCs w:val="32"/>
        </w:rPr>
        <w:t>（一）</w:t>
      </w:r>
      <w:r>
        <w:rPr>
          <w:rFonts w:hint="eastAsia" w:ascii="仿宋" w:hAnsi="仿宋" w:eastAsia="仿宋"/>
          <w:kern w:val="0"/>
          <w:sz w:val="32"/>
          <w:szCs w:val="32"/>
        </w:rPr>
        <w:t>采购人：江门市新会区教师发展中心。</w:t>
      </w:r>
    </w:p>
    <w:p w14:paraId="56BB8B6C">
      <w:pPr>
        <w:pStyle w:val="34"/>
        <w:widowControl/>
        <w:spacing w:line="560" w:lineRule="exact"/>
        <w:ind w:left="0" w:firstLine="640" w:firstLineChars="200"/>
        <w:contextualSpacing w:val="0"/>
        <w:rPr>
          <w:rFonts w:ascii="仿宋" w:hAnsi="仿宋" w:eastAsia="仿宋"/>
          <w:kern w:val="0"/>
          <w:sz w:val="32"/>
          <w:szCs w:val="32"/>
        </w:rPr>
      </w:pPr>
      <w:r>
        <w:rPr>
          <w:rFonts w:ascii="仿宋" w:hAnsi="仿宋" w:eastAsia="仿宋"/>
          <w:kern w:val="0"/>
          <w:sz w:val="32"/>
          <w:szCs w:val="32"/>
        </w:rPr>
        <w:t>（二）</w:t>
      </w:r>
      <w:r>
        <w:rPr>
          <w:rFonts w:hint="eastAsia" w:ascii="仿宋" w:hAnsi="仿宋" w:eastAsia="仿宋"/>
          <w:kern w:val="0"/>
          <w:sz w:val="32"/>
          <w:szCs w:val="32"/>
        </w:rPr>
        <w:t>项目名称：江门市新会区教师发展中心食堂委托经营服务。</w:t>
      </w:r>
    </w:p>
    <w:p w14:paraId="1B25C799">
      <w:pPr>
        <w:pStyle w:val="34"/>
        <w:widowControl/>
        <w:spacing w:line="560" w:lineRule="exact"/>
        <w:ind w:left="0" w:firstLine="640" w:firstLineChars="200"/>
        <w:contextualSpacing w:val="0"/>
        <w:rPr>
          <w:rFonts w:ascii="仿宋" w:hAnsi="仿宋" w:eastAsia="仿宋"/>
          <w:kern w:val="0"/>
          <w:sz w:val="32"/>
          <w:szCs w:val="32"/>
        </w:rPr>
      </w:pPr>
      <w:r>
        <w:rPr>
          <w:rFonts w:ascii="仿宋" w:hAnsi="仿宋" w:eastAsia="仿宋"/>
          <w:kern w:val="0"/>
          <w:sz w:val="32"/>
          <w:szCs w:val="32"/>
        </w:rPr>
        <w:t>（三）</w:t>
      </w:r>
      <w:r>
        <w:rPr>
          <w:rFonts w:hint="eastAsia" w:ascii="仿宋" w:hAnsi="仿宋" w:eastAsia="仿宋"/>
          <w:kern w:val="0"/>
          <w:sz w:val="32"/>
          <w:szCs w:val="32"/>
        </w:rPr>
        <w:t>项目服务内容：负责为江门市新会区教师发展中心提供食堂管理与餐饮服务，服务期限为202</w:t>
      </w:r>
      <w:r>
        <w:rPr>
          <w:rFonts w:hint="eastAsia" w:ascii="仿宋" w:hAnsi="仿宋" w:eastAsia="仿宋"/>
          <w:kern w:val="0"/>
          <w:sz w:val="32"/>
          <w:szCs w:val="32"/>
          <w:lang w:val="en-US" w:eastAsia="zh-CN"/>
        </w:rPr>
        <w:t>6</w:t>
      </w:r>
      <w:r>
        <w:rPr>
          <w:rFonts w:hint="eastAsia" w:ascii="仿宋" w:hAnsi="仿宋" w:eastAsia="仿宋"/>
          <w:kern w:val="0"/>
          <w:sz w:val="32"/>
          <w:szCs w:val="32"/>
        </w:rPr>
        <w:t>年8月1日至202</w:t>
      </w:r>
      <w:r>
        <w:rPr>
          <w:rFonts w:hint="eastAsia" w:ascii="仿宋" w:hAnsi="仿宋" w:eastAsia="仿宋"/>
          <w:kern w:val="0"/>
          <w:sz w:val="32"/>
          <w:szCs w:val="32"/>
          <w:lang w:val="en-US" w:eastAsia="zh-CN"/>
        </w:rPr>
        <w:t>7</w:t>
      </w:r>
      <w:r>
        <w:rPr>
          <w:rFonts w:hint="eastAsia" w:ascii="仿宋" w:hAnsi="仿宋" w:eastAsia="仿宋"/>
          <w:kern w:val="0"/>
          <w:sz w:val="32"/>
          <w:szCs w:val="32"/>
        </w:rPr>
        <w:t>年7月31日。</w:t>
      </w:r>
    </w:p>
    <w:p w14:paraId="2927A542">
      <w:pPr>
        <w:widowControl/>
        <w:numPr>
          <w:ilvl w:val="0"/>
          <w:numId w:val="1"/>
        </w:numPr>
        <w:spacing w:line="560" w:lineRule="exact"/>
        <w:ind w:firstLine="640" w:firstLineChars="200"/>
        <w:rPr>
          <w:rFonts w:ascii="黑体" w:hAnsi="黑体" w:eastAsia="黑体" w:cs="黑体"/>
          <w:color w:val="000000"/>
          <w:kern w:val="0"/>
          <w:sz w:val="32"/>
          <w:szCs w:val="32"/>
        </w:rPr>
      </w:pPr>
      <w:r>
        <w:rPr>
          <w:rFonts w:hint="eastAsia" w:ascii="黑体" w:hAnsi="黑体" w:eastAsia="黑体" w:cs="黑体"/>
          <w:color w:val="000000"/>
          <w:kern w:val="0"/>
          <w:sz w:val="32"/>
          <w:szCs w:val="32"/>
        </w:rPr>
        <w:t>报名条件要求</w:t>
      </w:r>
    </w:p>
    <w:p w14:paraId="01399A6D">
      <w:pPr>
        <w:pStyle w:val="34"/>
        <w:widowControl/>
        <w:spacing w:line="560" w:lineRule="exact"/>
        <w:ind w:left="0" w:firstLine="640" w:firstLineChars="200"/>
        <w:contextualSpacing w:val="0"/>
        <w:rPr>
          <w:rFonts w:ascii="仿宋" w:hAnsi="仿宋" w:eastAsia="仿宋"/>
          <w:kern w:val="0"/>
          <w:sz w:val="32"/>
          <w:szCs w:val="32"/>
        </w:rPr>
      </w:pPr>
      <w:r>
        <w:rPr>
          <w:rFonts w:hint="eastAsia" w:ascii="仿宋" w:hAnsi="仿宋" w:eastAsia="仿宋"/>
          <w:kern w:val="0"/>
          <w:sz w:val="32"/>
          <w:szCs w:val="32"/>
        </w:rPr>
        <w:t>（一）报名人应具备《中华人民共和国政府采购法》第二十二条规定的条件：</w:t>
      </w:r>
    </w:p>
    <w:p w14:paraId="4C7B0585">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1.具有独立承担民事责任的能力；</w:t>
      </w:r>
    </w:p>
    <w:p w14:paraId="53B0A0E5">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2.具有良好的商业信誉和健全的财务会计制度；</w:t>
      </w:r>
    </w:p>
    <w:p w14:paraId="4E545D67">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3.具备履行合同所必需的设备和专业技术能力；</w:t>
      </w:r>
    </w:p>
    <w:p w14:paraId="3A76ED02">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4.法律、行政法规规定的其他条件。</w:t>
      </w:r>
    </w:p>
    <w:p w14:paraId="6D4402E3">
      <w:pPr>
        <w:spacing w:line="560" w:lineRule="exact"/>
        <w:ind w:firstLine="640" w:firstLineChars="200"/>
        <w:rPr>
          <w:rFonts w:ascii="仿宋" w:hAnsi="仿宋" w:eastAsia="仿宋" w:cs="仿宋"/>
          <w:bCs/>
          <w:sz w:val="32"/>
          <w:szCs w:val="32"/>
        </w:rPr>
      </w:pPr>
      <w:r>
        <w:rPr>
          <w:rFonts w:hint="eastAsia" w:ascii="仿宋" w:hAnsi="仿宋" w:eastAsia="仿宋" w:cs="仿宋"/>
          <w:bCs/>
          <w:sz w:val="32"/>
          <w:szCs w:val="32"/>
        </w:rPr>
        <w:t>（二）落实政府采购政策需满足的资格要求：</w:t>
      </w:r>
    </w:p>
    <w:p w14:paraId="1404A89B">
      <w:pPr>
        <w:spacing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rPr>
        <w:t>本项目为预留份额专门面向中小企业采购项目，要求合同分包给中小企业。本项目采购标的对应的中小企业划分标准所属行业为“餐饮业”，</w:t>
      </w:r>
      <w:r>
        <w:rPr>
          <w:rFonts w:hint="eastAsia" w:ascii="仿宋" w:hAnsi="仿宋" w:eastAsia="仿宋" w:cs="仿宋"/>
          <w:sz w:val="32"/>
          <w:szCs w:val="32"/>
          <w:highlight w:val="none"/>
        </w:rPr>
        <w:t>供应商须符合本项目采购标的对应行业（餐饮业）中小企业划分标准。</w:t>
      </w:r>
    </w:p>
    <w:p w14:paraId="68A0A5C2">
      <w:pPr>
        <w:spacing w:line="560" w:lineRule="exact"/>
        <w:ind w:firstLine="640" w:firstLineChars="200"/>
        <w:rPr>
          <w:rFonts w:ascii="仿宋" w:hAnsi="仿宋" w:eastAsia="仿宋" w:cs="仿宋"/>
          <w:bCs/>
          <w:sz w:val="32"/>
          <w:szCs w:val="32"/>
        </w:rPr>
      </w:pPr>
      <w:r>
        <w:rPr>
          <w:rFonts w:hint="eastAsia" w:ascii="仿宋" w:hAnsi="仿宋" w:eastAsia="仿宋" w:cs="仿宋"/>
          <w:bCs/>
          <w:sz w:val="32"/>
          <w:szCs w:val="32"/>
        </w:rPr>
        <w:t>（三）本项目特定的资格要求：</w:t>
      </w:r>
    </w:p>
    <w:p w14:paraId="111077BB">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(1)供应商必须具有有效期内的《食品经营许可证》。</w:t>
      </w:r>
    </w:p>
    <w:p w14:paraId="1000AD98">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w:t>
      </w:r>
    </w:p>
    <w:p w14:paraId="48F04FEE">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(3)本项目不接受联合体</w:t>
      </w:r>
      <w:r>
        <w:rPr>
          <w:rFonts w:hint="eastAsia" w:ascii="仿宋" w:hAnsi="仿宋" w:eastAsia="仿宋" w:cs="仿宋"/>
          <w:sz w:val="32"/>
          <w:szCs w:val="32"/>
          <w:lang w:val="en-US" w:eastAsia="zh-CN"/>
        </w:rPr>
        <w:t>参加比选</w:t>
      </w:r>
      <w:r>
        <w:rPr>
          <w:rFonts w:hint="eastAsia" w:ascii="仿宋" w:hAnsi="仿宋" w:eastAsia="仿宋" w:cs="仿宋"/>
          <w:sz w:val="32"/>
          <w:szCs w:val="32"/>
        </w:rPr>
        <w:t>。</w:t>
      </w:r>
    </w:p>
    <w:p w14:paraId="2D9604E2">
      <w:pPr>
        <w:spacing w:line="560" w:lineRule="exact"/>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(4)单位负责人为同一人或者存在直接控股、管理关系的不同供应商，不得同时参加本采购项目比选。</w:t>
      </w:r>
    </w:p>
    <w:p w14:paraId="75EF968F">
      <w:pPr>
        <w:widowControl/>
        <w:numPr>
          <w:ilvl w:val="0"/>
          <w:numId w:val="1"/>
        </w:numPr>
        <w:spacing w:line="560" w:lineRule="exact"/>
        <w:ind w:firstLine="640" w:firstLineChars="200"/>
        <w:rPr>
          <w:rFonts w:ascii="黑体" w:hAnsi="黑体" w:eastAsia="黑体" w:cs="黑体"/>
          <w:color w:val="000000"/>
          <w:kern w:val="0"/>
          <w:sz w:val="32"/>
          <w:szCs w:val="32"/>
        </w:rPr>
      </w:pPr>
      <w:r>
        <w:rPr>
          <w:rFonts w:hint="eastAsia" w:ascii="黑体" w:hAnsi="黑体" w:eastAsia="黑体" w:cs="黑体"/>
          <w:color w:val="000000"/>
          <w:kern w:val="0"/>
          <w:sz w:val="32"/>
          <w:szCs w:val="32"/>
        </w:rPr>
        <w:t>采购文件说明</w:t>
      </w:r>
    </w:p>
    <w:p w14:paraId="2DAF1C36">
      <w:pPr>
        <w:widowControl/>
        <w:spacing w:line="560" w:lineRule="exact"/>
        <w:ind w:firstLine="640" w:firstLineChars="200"/>
        <w:rPr>
          <w:rFonts w:ascii="仿宋" w:hAnsi="仿宋" w:eastAsia="仿宋"/>
          <w:kern w:val="0"/>
          <w:sz w:val="32"/>
          <w:szCs w:val="32"/>
        </w:rPr>
      </w:pPr>
      <w:r>
        <w:rPr>
          <w:rFonts w:hint="eastAsia" w:ascii="仿宋" w:hAnsi="仿宋" w:eastAsia="仿宋"/>
          <w:kern w:val="0"/>
          <w:sz w:val="32"/>
          <w:szCs w:val="32"/>
        </w:rPr>
        <w:t>响应人应仔细阅读采购文件中的所有内容，按照采购文件及要求，详细编制响应文件，并保证响应文件的正确性和真实性。</w:t>
      </w:r>
    </w:p>
    <w:p w14:paraId="03DF21B7">
      <w:pPr>
        <w:widowControl/>
        <w:spacing w:line="560" w:lineRule="exact"/>
        <w:ind w:firstLine="640" w:firstLineChars="200"/>
        <w:rPr>
          <w:rFonts w:ascii="仿宋" w:hAnsi="仿宋" w:eastAsia="仿宋"/>
          <w:kern w:val="0"/>
          <w:sz w:val="32"/>
          <w:szCs w:val="32"/>
        </w:rPr>
      </w:pPr>
      <w:r>
        <w:rPr>
          <w:rFonts w:hint="eastAsia" w:ascii="仿宋" w:hAnsi="仿宋" w:eastAsia="仿宋" w:cs="Times New Roman"/>
          <w:kern w:val="0"/>
          <w:sz w:val="32"/>
          <w:szCs w:val="32"/>
        </w:rPr>
        <w:t>响应人如对该采购文件有疑问，应在202</w:t>
      </w:r>
      <w:r>
        <w:rPr>
          <w:rFonts w:hint="eastAsia" w:ascii="仿宋" w:hAnsi="仿宋" w:eastAsia="仿宋" w:cs="Times New Roman"/>
          <w:kern w:val="0"/>
          <w:sz w:val="32"/>
          <w:szCs w:val="32"/>
          <w:lang w:val="en-US" w:eastAsia="zh-CN"/>
        </w:rPr>
        <w:t>6</w:t>
      </w:r>
      <w:r>
        <w:rPr>
          <w:rFonts w:hint="eastAsia" w:ascii="仿宋" w:hAnsi="仿宋" w:eastAsia="仿宋" w:cs="Times New Roman"/>
          <w:kern w:val="0"/>
          <w:sz w:val="32"/>
          <w:szCs w:val="32"/>
        </w:rPr>
        <w:t>年</w:t>
      </w:r>
      <w:r>
        <w:rPr>
          <w:rFonts w:hint="eastAsia" w:ascii="仿宋" w:hAnsi="仿宋" w:eastAsia="仿宋" w:cs="Times New Roman"/>
          <w:kern w:val="0"/>
          <w:sz w:val="32"/>
          <w:szCs w:val="32"/>
          <w:lang w:val="en-US" w:eastAsia="zh-CN"/>
        </w:rPr>
        <w:t>7</w:t>
      </w:r>
      <w:r>
        <w:rPr>
          <w:rFonts w:hint="eastAsia" w:ascii="仿宋" w:hAnsi="仿宋" w:eastAsia="仿宋" w:cs="Times New Roman"/>
          <w:kern w:val="0"/>
          <w:sz w:val="32"/>
          <w:szCs w:val="32"/>
        </w:rPr>
        <w:t>月</w:t>
      </w:r>
      <w:r>
        <w:rPr>
          <w:rFonts w:hint="eastAsia" w:ascii="仿宋" w:hAnsi="仿宋" w:eastAsia="仿宋" w:cs="Times New Roman"/>
          <w:kern w:val="0"/>
          <w:sz w:val="32"/>
          <w:szCs w:val="32"/>
          <w:lang w:val="en-US" w:eastAsia="zh-CN"/>
        </w:rPr>
        <w:t>9</w:t>
      </w:r>
      <w:r>
        <w:rPr>
          <w:rFonts w:hint="eastAsia" w:ascii="仿宋" w:hAnsi="仿宋" w:eastAsia="仿宋" w:cs="Times New Roman"/>
          <w:kern w:val="0"/>
          <w:sz w:val="32"/>
          <w:szCs w:val="32"/>
        </w:rPr>
        <w:t>日12</w:t>
      </w:r>
      <w:r>
        <w:rPr>
          <w:rFonts w:hint="eastAsia" w:ascii="仿宋" w:hAnsi="仿宋" w:eastAsia="仿宋"/>
          <w:kern w:val="0"/>
          <w:sz w:val="32"/>
          <w:szCs w:val="32"/>
        </w:rPr>
        <w:t>：00</w:t>
      </w:r>
      <w:r>
        <w:rPr>
          <w:rFonts w:hint="eastAsia" w:ascii="仿宋" w:hAnsi="仿宋" w:eastAsia="仿宋" w:cs="Times New Roman"/>
          <w:kern w:val="0"/>
          <w:sz w:val="32"/>
          <w:szCs w:val="32"/>
        </w:rPr>
        <w:t>（北京时间）之</w:t>
      </w:r>
      <w:r>
        <w:rPr>
          <w:rFonts w:hint="eastAsia" w:ascii="仿宋" w:hAnsi="仿宋" w:eastAsia="仿宋"/>
          <w:kern w:val="0"/>
          <w:sz w:val="32"/>
          <w:szCs w:val="32"/>
        </w:rPr>
        <w:t>前向采购人提交书面提问。采购人对响应人的答疑，视为该采购文件的组成部分。</w:t>
      </w:r>
    </w:p>
    <w:p w14:paraId="75F211A2">
      <w:pPr>
        <w:widowControl/>
        <w:spacing w:line="560" w:lineRule="exact"/>
        <w:ind w:firstLine="640" w:firstLineChars="200"/>
        <w:rPr>
          <w:rFonts w:ascii="仿宋" w:hAnsi="仿宋" w:eastAsia="仿宋" w:cs="Times New Roman"/>
          <w:kern w:val="0"/>
          <w:sz w:val="32"/>
          <w:szCs w:val="32"/>
        </w:rPr>
      </w:pPr>
      <w:r>
        <w:rPr>
          <w:rFonts w:hint="eastAsia" w:ascii="仿宋" w:hAnsi="仿宋" w:eastAsia="仿宋" w:cs="Times New Roman"/>
          <w:kern w:val="0"/>
          <w:sz w:val="32"/>
          <w:szCs w:val="32"/>
        </w:rPr>
        <w:t>采购文件发出后，在提交响应文件截止时间前24小时，响应人可对采购文件进行补充和修改，补充和修改文件视为该采购文件的组成部分。为使响应人在编制响应文件时，有充分的时间对采购文件的补充或修改内容进行研究，采购人可酌情延长递交响应文件的截止时间，具体时间将在补充、修改通知中进行明确。</w:t>
      </w:r>
    </w:p>
    <w:p w14:paraId="4C5867F4">
      <w:pPr>
        <w:widowControl/>
        <w:numPr>
          <w:ilvl w:val="0"/>
          <w:numId w:val="1"/>
        </w:numPr>
        <w:spacing w:line="560" w:lineRule="exact"/>
        <w:ind w:firstLine="640" w:firstLineChars="200"/>
        <w:rPr>
          <w:rFonts w:ascii="黑体" w:hAnsi="黑体" w:eastAsia="黑体" w:cs="黑体"/>
          <w:color w:val="000000"/>
          <w:kern w:val="0"/>
          <w:sz w:val="32"/>
          <w:szCs w:val="32"/>
        </w:rPr>
      </w:pPr>
      <w:r>
        <w:rPr>
          <w:rFonts w:hint="eastAsia" w:ascii="黑体" w:hAnsi="黑体" w:eastAsia="黑体" w:cs="黑体"/>
          <w:color w:val="000000"/>
          <w:kern w:val="0"/>
          <w:sz w:val="32"/>
          <w:szCs w:val="32"/>
        </w:rPr>
        <w:t>提交材料要求</w:t>
      </w:r>
    </w:p>
    <w:p w14:paraId="02DCD1B9">
      <w:pPr>
        <w:widowControl/>
        <w:spacing w:line="560" w:lineRule="exact"/>
        <w:ind w:firstLine="640" w:firstLineChars="200"/>
        <w:rPr>
          <w:rFonts w:ascii="仿宋" w:hAnsi="仿宋" w:eastAsia="仿宋"/>
          <w:kern w:val="0"/>
          <w:sz w:val="32"/>
          <w:szCs w:val="32"/>
        </w:rPr>
      </w:pPr>
      <w:r>
        <w:rPr>
          <w:rFonts w:hint="eastAsia" w:ascii="仿宋" w:hAnsi="仿宋" w:eastAsia="仿宋"/>
          <w:kern w:val="0"/>
          <w:sz w:val="32"/>
          <w:szCs w:val="32"/>
        </w:rPr>
        <w:t>响应人对所提供材料的真实性负责，若发现弄虚作假，取消其响应资格。提交材料应包括：</w:t>
      </w:r>
      <w:r>
        <w:rPr>
          <w:rFonts w:hint="eastAsia" w:ascii="宋体" w:hAnsi="宋体" w:eastAsia="仿宋"/>
          <w:kern w:val="0"/>
          <w:sz w:val="32"/>
          <w:szCs w:val="32"/>
        </w:rPr>
        <w:t> </w:t>
      </w:r>
    </w:p>
    <w:p w14:paraId="4E7200E5">
      <w:pPr>
        <w:widowControl/>
        <w:spacing w:line="560" w:lineRule="exact"/>
        <w:ind w:firstLine="640" w:firstLineChars="200"/>
        <w:rPr>
          <w:rFonts w:ascii="仿宋" w:hAnsi="仿宋" w:eastAsia="仿宋"/>
          <w:kern w:val="0"/>
          <w:sz w:val="32"/>
          <w:szCs w:val="32"/>
        </w:rPr>
      </w:pPr>
      <w:r>
        <w:rPr>
          <w:rFonts w:hint="eastAsia" w:ascii="仿宋" w:hAnsi="仿宋" w:eastAsia="仿宋"/>
          <w:kern w:val="0"/>
          <w:sz w:val="32"/>
          <w:szCs w:val="32"/>
        </w:rPr>
        <w:t>（一）营业执照、响应人单位概况（含企业机构设置情况、办公场地和人员基本情况）、业绩证明、相关资质证书、信用情况等材料复印件。</w:t>
      </w:r>
    </w:p>
    <w:p w14:paraId="4B21C696">
      <w:pPr>
        <w:widowControl/>
        <w:spacing w:line="560" w:lineRule="exact"/>
        <w:ind w:firstLine="640" w:firstLineChars="200"/>
        <w:rPr>
          <w:rFonts w:ascii="仿宋" w:hAnsi="仿宋" w:eastAsia="仿宋"/>
          <w:kern w:val="0"/>
          <w:sz w:val="32"/>
          <w:szCs w:val="32"/>
        </w:rPr>
      </w:pPr>
      <w:r>
        <w:rPr>
          <w:rFonts w:hint="eastAsia" w:ascii="仿宋" w:hAnsi="仿宋" w:eastAsia="仿宋"/>
          <w:kern w:val="0"/>
          <w:sz w:val="32"/>
          <w:szCs w:val="32"/>
        </w:rPr>
        <w:t>（二）食堂委托经营服务各种工作方案、工作制度（含食堂餐出品方案、管理制度、项目实施方案、应急处理方案等）。</w:t>
      </w:r>
    </w:p>
    <w:p w14:paraId="34E36D80">
      <w:pPr>
        <w:widowControl/>
        <w:spacing w:line="560" w:lineRule="exact"/>
        <w:ind w:firstLine="640" w:firstLineChars="200"/>
        <w:rPr>
          <w:rFonts w:ascii="仿宋" w:hAnsi="仿宋" w:eastAsia="仿宋"/>
          <w:sz w:val="32"/>
          <w:szCs w:val="32"/>
        </w:rPr>
      </w:pPr>
      <w:r>
        <w:rPr>
          <w:rFonts w:hint="eastAsia" w:ascii="仿宋" w:hAnsi="仿宋" w:eastAsia="仿宋"/>
          <w:sz w:val="32"/>
          <w:szCs w:val="32"/>
        </w:rPr>
        <w:t>（三）</w:t>
      </w:r>
      <w:r>
        <w:rPr>
          <w:rFonts w:hint="eastAsia" w:ascii="仿宋" w:hAnsi="仿宋" w:eastAsia="仿宋"/>
          <w:sz w:val="32"/>
          <w:szCs w:val="32"/>
          <w:lang w:val="en-US" w:eastAsia="zh-CN"/>
        </w:rPr>
        <w:t>采购文件要求</w:t>
      </w:r>
      <w:r>
        <w:rPr>
          <w:rFonts w:hint="eastAsia" w:ascii="仿宋" w:hAnsi="仿宋" w:eastAsia="仿宋"/>
          <w:sz w:val="32"/>
          <w:szCs w:val="32"/>
        </w:rPr>
        <w:t>及响应人认为有必要提供的其他证明材料。</w:t>
      </w:r>
    </w:p>
    <w:p w14:paraId="27D9DF8E">
      <w:pPr>
        <w:widowControl/>
        <w:spacing w:line="560" w:lineRule="exact"/>
        <w:ind w:firstLine="640" w:firstLineChars="200"/>
        <w:rPr>
          <w:rFonts w:ascii="仿宋" w:hAnsi="仿宋" w:eastAsia="仿宋"/>
          <w:kern w:val="0"/>
          <w:sz w:val="32"/>
          <w:szCs w:val="32"/>
        </w:rPr>
      </w:pPr>
      <w:r>
        <w:rPr>
          <w:rFonts w:hint="eastAsia" w:ascii="仿宋" w:hAnsi="仿宋" w:eastAsia="仿宋"/>
          <w:sz w:val="32"/>
          <w:szCs w:val="32"/>
        </w:rPr>
        <w:t>申请材料具体要求及格式请参见</w:t>
      </w:r>
      <w:r>
        <w:rPr>
          <w:rFonts w:hint="eastAsia" w:ascii="仿宋" w:hAnsi="仿宋" w:eastAsia="仿宋"/>
          <w:b/>
          <w:bCs/>
          <w:sz w:val="32"/>
          <w:szCs w:val="32"/>
        </w:rPr>
        <w:t>附件</w:t>
      </w:r>
      <w:r>
        <w:rPr>
          <w:rFonts w:hint="eastAsia" w:ascii="仿宋" w:hAnsi="仿宋" w:eastAsia="仿宋"/>
          <w:sz w:val="32"/>
          <w:szCs w:val="32"/>
        </w:rPr>
        <w:t>，</w:t>
      </w:r>
      <w:r>
        <w:rPr>
          <w:rFonts w:ascii="仿宋" w:hAnsi="仿宋" w:eastAsia="仿宋"/>
          <w:b/>
          <w:bCs/>
          <w:kern w:val="0"/>
          <w:sz w:val="32"/>
          <w:szCs w:val="32"/>
        </w:rPr>
        <w:t>申请材料须加盖单位公章，一式三份</w:t>
      </w:r>
      <w:r>
        <w:rPr>
          <w:rFonts w:hint="eastAsia" w:ascii="仿宋" w:hAnsi="仿宋" w:eastAsia="仿宋"/>
          <w:b/>
          <w:bCs/>
          <w:kern w:val="0"/>
          <w:sz w:val="32"/>
          <w:szCs w:val="32"/>
        </w:rPr>
        <w:t>，密封提交，封装上标注：项目名称、响应人名称</w:t>
      </w:r>
      <w:r>
        <w:rPr>
          <w:rFonts w:ascii="仿宋" w:hAnsi="仿宋" w:eastAsia="仿宋"/>
          <w:b/>
          <w:bCs/>
          <w:kern w:val="0"/>
          <w:sz w:val="32"/>
          <w:szCs w:val="32"/>
        </w:rPr>
        <w:t>。</w:t>
      </w:r>
      <w:r>
        <w:rPr>
          <w:rFonts w:ascii="仿宋" w:hAnsi="仿宋" w:eastAsia="仿宋"/>
          <w:kern w:val="0"/>
          <w:sz w:val="32"/>
          <w:szCs w:val="32"/>
        </w:rPr>
        <w:t>分支机构参与</w:t>
      </w:r>
      <w:r>
        <w:rPr>
          <w:rFonts w:hint="eastAsia" w:ascii="仿宋" w:hAnsi="仿宋" w:eastAsia="仿宋"/>
          <w:kern w:val="0"/>
          <w:sz w:val="32"/>
          <w:szCs w:val="32"/>
        </w:rPr>
        <w:t>比选</w:t>
      </w:r>
      <w:r>
        <w:rPr>
          <w:rFonts w:ascii="仿宋" w:hAnsi="仿宋" w:eastAsia="仿宋"/>
          <w:kern w:val="0"/>
          <w:sz w:val="32"/>
          <w:szCs w:val="32"/>
        </w:rPr>
        <w:t>的，允许使用总公司的相关资质证书和业绩证明、</w:t>
      </w:r>
      <w:r>
        <w:rPr>
          <w:rFonts w:hint="eastAsia" w:ascii="仿宋" w:hAnsi="仿宋" w:eastAsia="仿宋"/>
          <w:kern w:val="0"/>
          <w:sz w:val="32"/>
          <w:szCs w:val="32"/>
        </w:rPr>
        <w:t>信用</w:t>
      </w:r>
      <w:r>
        <w:rPr>
          <w:rFonts w:ascii="仿宋" w:hAnsi="仿宋" w:eastAsia="仿宋"/>
          <w:kern w:val="0"/>
          <w:sz w:val="32"/>
          <w:szCs w:val="32"/>
        </w:rPr>
        <w:t>情况等材料。</w:t>
      </w:r>
    </w:p>
    <w:p w14:paraId="29EC5663">
      <w:pPr>
        <w:widowControl/>
        <w:numPr>
          <w:ilvl w:val="0"/>
          <w:numId w:val="1"/>
        </w:numPr>
        <w:spacing w:line="560" w:lineRule="exact"/>
        <w:ind w:firstLine="640" w:firstLineChars="200"/>
        <w:rPr>
          <w:rFonts w:ascii="黑体" w:hAnsi="黑体" w:eastAsia="黑体" w:cs="黑体"/>
          <w:color w:val="000000"/>
          <w:kern w:val="0"/>
          <w:sz w:val="32"/>
          <w:szCs w:val="32"/>
        </w:rPr>
      </w:pPr>
      <w:r>
        <w:rPr>
          <w:rFonts w:hint="eastAsia" w:ascii="黑体" w:hAnsi="黑体" w:eastAsia="黑体" w:cs="黑体"/>
          <w:color w:val="000000"/>
          <w:kern w:val="0"/>
          <w:sz w:val="32"/>
          <w:szCs w:val="32"/>
        </w:rPr>
        <w:t>报名时间、地点、联系方式</w:t>
      </w:r>
    </w:p>
    <w:p w14:paraId="06D07981">
      <w:pPr>
        <w:pStyle w:val="34"/>
        <w:widowControl/>
        <w:spacing w:line="560" w:lineRule="exact"/>
        <w:ind w:left="0" w:firstLine="640" w:firstLineChars="200"/>
        <w:rPr>
          <w:rFonts w:ascii="仿宋" w:hAnsi="仿宋" w:eastAsia="仿宋"/>
          <w:kern w:val="0"/>
          <w:sz w:val="32"/>
          <w:szCs w:val="32"/>
        </w:rPr>
      </w:pPr>
      <w:r>
        <w:rPr>
          <w:rFonts w:hint="eastAsia" w:ascii="仿宋" w:hAnsi="仿宋" w:eastAsia="仿宋"/>
          <w:kern w:val="0"/>
          <w:sz w:val="32"/>
          <w:szCs w:val="32"/>
        </w:rPr>
        <w:t>（一）报名截止时间：</w:t>
      </w:r>
      <w:r>
        <w:rPr>
          <w:rFonts w:hint="eastAsia" w:ascii="仿宋" w:hAnsi="仿宋" w:eastAsia="仿宋"/>
          <w:kern w:val="0"/>
          <w:sz w:val="32"/>
          <w:szCs w:val="32"/>
          <w:lang w:val="en-US" w:eastAsia="zh-CN"/>
        </w:rPr>
        <w:t>2026</w:t>
      </w:r>
      <w:r>
        <w:rPr>
          <w:rFonts w:hint="eastAsia" w:ascii="仿宋" w:hAnsi="仿宋" w:eastAsia="仿宋"/>
          <w:kern w:val="0"/>
          <w:sz w:val="32"/>
          <w:szCs w:val="32"/>
        </w:rPr>
        <w:t>年</w:t>
      </w:r>
      <w:r>
        <w:rPr>
          <w:rFonts w:hint="default" w:ascii="仿宋" w:hAnsi="仿宋" w:eastAsia="仿宋"/>
          <w:kern w:val="0"/>
          <w:sz w:val="32"/>
          <w:szCs w:val="32"/>
          <w:lang w:val="en-US" w:eastAsia="zh-CN"/>
        </w:rPr>
        <w:t>7</w:t>
      </w:r>
      <w:r>
        <w:rPr>
          <w:rFonts w:hint="default" w:ascii="仿宋" w:hAnsi="仿宋" w:eastAsia="仿宋"/>
          <w:kern w:val="0"/>
          <w:sz w:val="32"/>
          <w:szCs w:val="32"/>
        </w:rPr>
        <w:t>月</w:t>
      </w:r>
      <w:r>
        <w:rPr>
          <w:rFonts w:hint="eastAsia" w:ascii="仿宋" w:hAnsi="仿宋" w:eastAsia="仿宋"/>
          <w:kern w:val="0"/>
          <w:sz w:val="32"/>
          <w:szCs w:val="32"/>
          <w:shd w:val="clear" w:color="auto" w:fill="auto"/>
          <w:lang w:val="en-US" w:eastAsia="zh-CN"/>
        </w:rPr>
        <w:t>9</w:t>
      </w:r>
      <w:r>
        <w:rPr>
          <w:rFonts w:hint="default" w:ascii="仿宋" w:hAnsi="仿宋" w:eastAsia="仿宋"/>
          <w:kern w:val="0"/>
          <w:sz w:val="32"/>
          <w:szCs w:val="32"/>
        </w:rPr>
        <w:t>日</w:t>
      </w:r>
      <w:r>
        <w:rPr>
          <w:rFonts w:hint="eastAsia" w:ascii="仿宋" w:hAnsi="仿宋" w:eastAsia="仿宋"/>
          <w:kern w:val="0"/>
          <w:sz w:val="32"/>
          <w:szCs w:val="32"/>
        </w:rPr>
        <w:t>17：</w:t>
      </w:r>
      <w:r>
        <w:rPr>
          <w:rFonts w:hint="eastAsia" w:ascii="仿宋" w:hAnsi="仿宋" w:eastAsia="仿宋"/>
          <w:kern w:val="0"/>
          <w:sz w:val="32"/>
          <w:szCs w:val="32"/>
          <w:lang w:val="en-US" w:eastAsia="zh-CN"/>
        </w:rPr>
        <w:t>30</w:t>
      </w:r>
      <w:r>
        <w:rPr>
          <w:rFonts w:hint="eastAsia" w:ascii="仿宋" w:hAnsi="仿宋" w:eastAsia="仿宋"/>
          <w:kern w:val="0"/>
          <w:sz w:val="32"/>
          <w:szCs w:val="32"/>
        </w:rPr>
        <w:t>。请符合条件的单位于报名截止时间前将纸质版响应文件封装完整，现场递交至江门市新会区教师发展中心二楼教育技术部，逾期不予受理。</w:t>
      </w:r>
    </w:p>
    <w:p w14:paraId="0B5A1758">
      <w:pPr>
        <w:widowControl/>
        <w:spacing w:line="560" w:lineRule="exact"/>
        <w:ind w:firstLine="640" w:firstLineChars="200"/>
        <w:rPr>
          <w:rFonts w:ascii="仿宋" w:hAnsi="仿宋" w:eastAsia="仿宋"/>
          <w:kern w:val="0"/>
          <w:sz w:val="32"/>
          <w:szCs w:val="32"/>
        </w:rPr>
      </w:pPr>
      <w:r>
        <w:rPr>
          <w:rFonts w:hint="eastAsia" w:ascii="仿宋" w:hAnsi="仿宋" w:eastAsia="仿宋"/>
          <w:kern w:val="0"/>
          <w:sz w:val="32"/>
          <w:szCs w:val="32"/>
        </w:rPr>
        <w:t>（二）地址：江门市新会区会城葵安路8号。</w:t>
      </w:r>
    </w:p>
    <w:p w14:paraId="6B223188">
      <w:pPr>
        <w:widowControl/>
        <w:spacing w:line="560" w:lineRule="exact"/>
        <w:ind w:firstLine="640" w:firstLineChars="200"/>
        <w:rPr>
          <w:rFonts w:hint="eastAsia" w:ascii="仿宋" w:hAnsi="仿宋" w:eastAsia="仿宋"/>
          <w:kern w:val="0"/>
          <w:sz w:val="32"/>
          <w:szCs w:val="32"/>
        </w:rPr>
      </w:pPr>
      <w:r>
        <w:rPr>
          <w:rFonts w:hint="eastAsia" w:ascii="仿宋" w:hAnsi="仿宋" w:eastAsia="仿宋"/>
          <w:kern w:val="0"/>
          <w:sz w:val="32"/>
          <w:szCs w:val="32"/>
        </w:rPr>
        <w:t>（三）联系人：赵老师，电话：0750-6623</w:t>
      </w:r>
      <w:r>
        <w:rPr>
          <w:rFonts w:hint="eastAsia" w:ascii="仿宋" w:hAnsi="仿宋" w:eastAsia="仿宋"/>
          <w:kern w:val="0"/>
          <w:sz w:val="32"/>
          <w:szCs w:val="32"/>
          <w:lang w:val="en-US" w:eastAsia="zh-CN"/>
        </w:rPr>
        <w:t>075</w:t>
      </w:r>
      <w:r>
        <w:rPr>
          <w:rFonts w:hint="eastAsia" w:ascii="仿宋" w:hAnsi="仿宋" w:eastAsia="仿宋"/>
          <w:kern w:val="0"/>
          <w:sz w:val="32"/>
          <w:szCs w:val="32"/>
        </w:rPr>
        <w:t>。</w:t>
      </w:r>
    </w:p>
    <w:p w14:paraId="470015D9">
      <w:pPr>
        <w:widowControl/>
        <w:numPr>
          <w:ilvl w:val="-1"/>
          <w:numId w:val="0"/>
        </w:numPr>
        <w:spacing w:line="240" w:lineRule="auto"/>
        <w:jc w:val="left"/>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br w:type="page"/>
      </w:r>
    </w:p>
    <w:p w14:paraId="1AAABE17">
      <w:pPr>
        <w:widowControl/>
        <w:numPr>
          <w:ilvl w:val="0"/>
          <w:numId w:val="0"/>
        </w:numPr>
        <w:spacing w:line="560" w:lineRule="exact"/>
        <w:jc w:val="center"/>
        <w:rPr>
          <w:rFonts w:ascii="黑体" w:hAnsi="黑体" w:eastAsia="黑体" w:cs="黑体"/>
          <w:kern w:val="0"/>
          <w:sz w:val="32"/>
          <w:szCs w:val="32"/>
        </w:rPr>
      </w:pPr>
      <w:r>
        <w:rPr>
          <w:rFonts w:hint="eastAsia" w:ascii="黑体" w:hAnsi="黑体" w:eastAsia="黑体" w:cs="黑体"/>
          <w:kern w:val="0"/>
          <w:sz w:val="32"/>
          <w:szCs w:val="32"/>
          <w:lang w:val="en-US" w:eastAsia="zh-CN" w:bidi="ar-SA"/>
        </w:rPr>
        <w:t xml:space="preserve">第二章  </w:t>
      </w:r>
      <w:r>
        <w:rPr>
          <w:rFonts w:hint="eastAsia" w:ascii="黑体" w:hAnsi="黑体" w:eastAsia="黑体" w:cs="黑体"/>
          <w:kern w:val="0"/>
          <w:sz w:val="32"/>
          <w:szCs w:val="32"/>
        </w:rPr>
        <w:t>项目需求</w:t>
      </w:r>
    </w:p>
    <w:p w14:paraId="1E8239F5">
      <w:pPr>
        <w:pStyle w:val="18"/>
      </w:pPr>
    </w:p>
    <w:p w14:paraId="4C6FB3C7">
      <w:pPr>
        <w:widowControl/>
        <w:numPr>
          <w:ilvl w:val="0"/>
          <w:numId w:val="2"/>
        </w:numPr>
        <w:spacing w:line="560" w:lineRule="exact"/>
        <w:ind w:firstLine="470"/>
        <w:outlineLvl w:val="0"/>
        <w:rPr>
          <w:rFonts w:ascii="黑体" w:hAnsi="黑体" w:eastAsia="黑体" w:cs="黑体"/>
          <w:kern w:val="0"/>
          <w:sz w:val="32"/>
          <w:szCs w:val="32"/>
        </w:rPr>
      </w:pPr>
      <w:r>
        <w:rPr>
          <w:rFonts w:hint="eastAsia" w:ascii="黑体" w:hAnsi="黑体" w:eastAsia="黑体" w:cs="黑体"/>
          <w:kern w:val="0"/>
          <w:sz w:val="32"/>
          <w:szCs w:val="32"/>
        </w:rPr>
        <w:t>项目概况</w:t>
      </w:r>
    </w:p>
    <w:p w14:paraId="782F8720">
      <w:pPr>
        <w:widowControl/>
        <w:spacing w:line="560" w:lineRule="exact"/>
        <w:ind w:firstLine="668" w:firstLineChars="209"/>
        <w:jc w:val="left"/>
        <w:rPr>
          <w:rFonts w:ascii="仿宋" w:hAnsi="仿宋" w:eastAsia="仿宋" w:cs="仿宋"/>
          <w:kern w:val="0"/>
          <w:sz w:val="32"/>
          <w:szCs w:val="32"/>
        </w:rPr>
      </w:pPr>
      <w:r>
        <w:rPr>
          <w:rFonts w:hint="eastAsia" w:ascii="仿宋" w:hAnsi="仿宋" w:eastAsia="仿宋" w:cs="仿宋"/>
          <w:kern w:val="0"/>
          <w:sz w:val="32"/>
          <w:szCs w:val="32"/>
        </w:rPr>
        <w:t>江门市新会区教师发展中心食堂需为本中心工作人员、参训人员以及合署办公的教育局机关、核算中心等人员提供餐饮服务，保障约</w:t>
      </w:r>
      <w:r>
        <w:rPr>
          <w:rFonts w:hint="eastAsia" w:ascii="仿宋" w:hAnsi="仿宋" w:eastAsia="仿宋" w:cs="仿宋"/>
          <w:kern w:val="0"/>
          <w:sz w:val="32"/>
          <w:szCs w:val="32"/>
          <w:lang w:val="en-US" w:eastAsia="zh-CN"/>
        </w:rPr>
        <w:t>100</w:t>
      </w:r>
      <w:r>
        <w:rPr>
          <w:rFonts w:hint="eastAsia" w:ascii="仿宋" w:hAnsi="仿宋" w:eastAsia="仿宋" w:cs="仿宋"/>
          <w:kern w:val="0"/>
          <w:sz w:val="32"/>
          <w:szCs w:val="32"/>
        </w:rPr>
        <w:t>人次/工作日的早餐及午餐，亟需引进专业餐饮服务公司，为中心提供安全可靠和优质高效的食堂管理及餐饮服务。</w:t>
      </w:r>
    </w:p>
    <w:p w14:paraId="62B0BDE5">
      <w:pPr>
        <w:widowControl/>
        <w:spacing w:line="560" w:lineRule="exact"/>
        <w:ind w:firstLine="668" w:firstLineChars="209"/>
        <w:jc w:val="left"/>
        <w:rPr>
          <w:rFonts w:ascii="仿宋" w:hAnsi="仿宋" w:eastAsia="仿宋" w:cs="仿宋"/>
          <w:kern w:val="0"/>
          <w:sz w:val="32"/>
          <w:szCs w:val="32"/>
        </w:rPr>
      </w:pPr>
      <w:r>
        <w:rPr>
          <w:rFonts w:hint="eastAsia" w:ascii="仿宋" w:hAnsi="仿宋" w:eastAsia="仿宋" w:cs="仿宋"/>
          <w:kern w:val="0"/>
          <w:sz w:val="32"/>
          <w:szCs w:val="32"/>
        </w:rPr>
        <w:t>根据《中华人民共和国政府采购法》及相关法律法规，为充分利用社会资源及市场条件，规范政府采购工作，我中心拟采用比选方式选定餐饮服务公司,在服务期限内为我中心提供食堂管理及餐饮服务。</w:t>
      </w:r>
    </w:p>
    <w:p w14:paraId="666B314B">
      <w:pPr>
        <w:widowControl/>
        <w:numPr>
          <w:ilvl w:val="0"/>
          <w:numId w:val="2"/>
        </w:numPr>
        <w:spacing w:line="560" w:lineRule="exact"/>
        <w:ind w:firstLine="470"/>
        <w:outlineLvl w:val="0"/>
        <w:rPr>
          <w:rFonts w:ascii="黑体" w:hAnsi="黑体" w:eastAsia="黑体" w:cs="黑体"/>
          <w:kern w:val="0"/>
          <w:sz w:val="32"/>
          <w:szCs w:val="32"/>
        </w:rPr>
      </w:pPr>
      <w:r>
        <w:rPr>
          <w:rFonts w:hint="eastAsia" w:ascii="黑体" w:hAnsi="黑体" w:eastAsia="黑体" w:cs="黑体"/>
          <w:kern w:val="0"/>
          <w:sz w:val="32"/>
          <w:szCs w:val="32"/>
        </w:rPr>
        <w:t>服务期限</w:t>
      </w:r>
    </w:p>
    <w:p w14:paraId="2AC018C5">
      <w:pPr>
        <w:pStyle w:val="34"/>
        <w:widowControl/>
        <w:spacing w:line="560" w:lineRule="exact"/>
        <w:ind w:left="0" w:firstLine="640" w:firstLineChars="200"/>
        <w:contextualSpacing w:val="0"/>
        <w:rPr>
          <w:rFonts w:hint="eastAsia" w:ascii="仿宋" w:hAnsi="仿宋" w:eastAsia="仿宋" w:cs="仿宋"/>
          <w:kern w:val="0"/>
          <w:sz w:val="32"/>
          <w:szCs w:val="32"/>
        </w:rPr>
      </w:pPr>
      <w:r>
        <w:rPr>
          <w:rFonts w:hint="eastAsia" w:ascii="仿宋" w:hAnsi="仿宋" w:eastAsia="仿宋" w:cs="仿宋"/>
          <w:kern w:val="0"/>
          <w:sz w:val="32"/>
          <w:szCs w:val="32"/>
        </w:rPr>
        <w:t>202</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rPr>
        <w:t>年8月1日至202</w:t>
      </w:r>
      <w:r>
        <w:rPr>
          <w:rFonts w:hint="eastAsia" w:ascii="仿宋" w:hAnsi="仿宋" w:eastAsia="仿宋" w:cs="仿宋"/>
          <w:kern w:val="0"/>
          <w:sz w:val="32"/>
          <w:szCs w:val="32"/>
          <w:lang w:val="en-US" w:eastAsia="zh-CN"/>
        </w:rPr>
        <w:t>7</w:t>
      </w:r>
      <w:r>
        <w:rPr>
          <w:rFonts w:hint="eastAsia" w:ascii="仿宋" w:hAnsi="仿宋" w:eastAsia="仿宋" w:cs="仿宋"/>
          <w:kern w:val="0"/>
          <w:sz w:val="32"/>
          <w:szCs w:val="32"/>
        </w:rPr>
        <w:t>年7月31日。</w:t>
      </w:r>
    </w:p>
    <w:p w14:paraId="1D8833C6">
      <w:pPr>
        <w:widowControl/>
        <w:numPr>
          <w:ilvl w:val="0"/>
          <w:numId w:val="2"/>
        </w:numPr>
        <w:spacing w:line="560" w:lineRule="exact"/>
        <w:ind w:firstLine="470"/>
        <w:outlineLvl w:val="0"/>
        <w:rPr>
          <w:rFonts w:ascii="黑体" w:hAnsi="黑体" w:eastAsia="黑体" w:cs="黑体"/>
          <w:kern w:val="0"/>
          <w:sz w:val="32"/>
          <w:szCs w:val="32"/>
        </w:rPr>
      </w:pPr>
      <w:r>
        <w:rPr>
          <w:rFonts w:hint="eastAsia" w:ascii="黑体" w:hAnsi="黑体" w:eastAsia="黑体" w:cs="黑体"/>
          <w:kern w:val="0"/>
          <w:sz w:val="32"/>
          <w:szCs w:val="32"/>
        </w:rPr>
        <w:t>服务地点</w:t>
      </w:r>
    </w:p>
    <w:p w14:paraId="7718B59B">
      <w:pPr>
        <w:widowControl/>
        <w:spacing w:line="560" w:lineRule="exact"/>
        <w:ind w:firstLine="668" w:firstLineChars="209"/>
        <w:jc w:val="left"/>
        <w:rPr>
          <w:rFonts w:ascii="仿宋" w:hAnsi="仿宋" w:eastAsia="仿宋" w:cs="仿宋"/>
          <w:kern w:val="0"/>
          <w:sz w:val="32"/>
          <w:szCs w:val="32"/>
        </w:rPr>
      </w:pPr>
      <w:r>
        <w:rPr>
          <w:rFonts w:hint="eastAsia" w:ascii="仿宋" w:hAnsi="仿宋" w:eastAsia="仿宋" w:cs="仿宋"/>
          <w:kern w:val="0"/>
          <w:sz w:val="32"/>
          <w:szCs w:val="32"/>
        </w:rPr>
        <w:t>江门市新会区教师发展中心（葵安路8号）</w:t>
      </w:r>
    </w:p>
    <w:p w14:paraId="6865041F">
      <w:pPr>
        <w:widowControl/>
        <w:numPr>
          <w:ilvl w:val="0"/>
          <w:numId w:val="2"/>
        </w:numPr>
        <w:spacing w:line="560" w:lineRule="exact"/>
        <w:ind w:firstLine="470"/>
        <w:outlineLvl w:val="0"/>
        <w:rPr>
          <w:rFonts w:ascii="黑体" w:hAnsi="黑体" w:eastAsia="黑体" w:cs="黑体"/>
          <w:kern w:val="0"/>
          <w:sz w:val="32"/>
          <w:szCs w:val="32"/>
        </w:rPr>
      </w:pPr>
      <w:r>
        <w:rPr>
          <w:rFonts w:hint="eastAsia" w:ascii="黑体" w:hAnsi="黑体" w:eastAsia="黑体" w:cs="黑体"/>
          <w:kern w:val="0"/>
          <w:sz w:val="32"/>
          <w:szCs w:val="32"/>
        </w:rPr>
        <w:t>商务要求</w:t>
      </w:r>
    </w:p>
    <w:p w14:paraId="1EEB8E6F">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(一）结算方式</w:t>
      </w:r>
    </w:p>
    <w:p w14:paraId="26F4E710">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按每天报餐人数为准作为伙食标准结算依据，甲、乙双方对职工用餐数进行确认，当月餐饮服务费（伙食费）甲方在次月结算支付给乙方。</w:t>
      </w:r>
    </w:p>
    <w:p w14:paraId="354C8523">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(二）付款方式</w:t>
      </w:r>
    </w:p>
    <w:p w14:paraId="0594BB55">
      <w:pPr>
        <w:pStyle w:val="18"/>
        <w:numPr>
          <w:ilvl w:val="0"/>
          <w:numId w:val="3"/>
        </w:numPr>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乙方根据确认结算的金额向甲方开具发票，甲方原则上应在收到乙方开具的发票15日内，以银行转账方式将款项支付给乙方指定的银行账户。</w:t>
      </w:r>
    </w:p>
    <w:p w14:paraId="39EAF488">
      <w:pPr>
        <w:pStyle w:val="18"/>
        <w:numPr>
          <w:ilvl w:val="0"/>
          <w:numId w:val="3"/>
        </w:numPr>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lang w:eastAsia="zh-CN"/>
        </w:rPr>
        <w:t>中标供应商</w:t>
      </w:r>
      <w:r>
        <w:rPr>
          <w:rFonts w:hint="eastAsia" w:ascii="仿宋" w:hAnsi="仿宋" w:eastAsia="仿宋" w:cs="仿宋"/>
          <w:sz w:val="32"/>
          <w:szCs w:val="32"/>
        </w:rPr>
        <w:t>在收取服务费前须向采购人提供有效含税等额发票，若</w:t>
      </w:r>
      <w:r>
        <w:rPr>
          <w:rFonts w:hint="eastAsia" w:ascii="仿宋" w:hAnsi="仿宋" w:eastAsia="仿宋" w:cs="仿宋"/>
          <w:sz w:val="32"/>
          <w:szCs w:val="32"/>
          <w:lang w:eastAsia="zh-CN"/>
        </w:rPr>
        <w:t>中标供应商</w:t>
      </w:r>
      <w:r>
        <w:rPr>
          <w:rFonts w:hint="eastAsia" w:ascii="仿宋" w:hAnsi="仿宋" w:eastAsia="仿宋" w:cs="仿宋"/>
          <w:sz w:val="32"/>
          <w:szCs w:val="32"/>
        </w:rPr>
        <w:t>逾期提供上述发票或提供的发票不符合要求，采购人有权顺延支付当期应付费用，且不视为违约。</w:t>
      </w:r>
    </w:p>
    <w:p w14:paraId="5011D395">
      <w:pPr>
        <w:pStyle w:val="18"/>
        <w:numPr>
          <w:ilvl w:val="0"/>
          <w:numId w:val="3"/>
        </w:numPr>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lang w:eastAsia="zh-CN"/>
        </w:rPr>
        <w:t>中标供应商</w:t>
      </w:r>
      <w:r>
        <w:rPr>
          <w:rFonts w:hint="eastAsia" w:ascii="仿宋" w:hAnsi="仿宋" w:eastAsia="仿宋" w:cs="仿宋"/>
          <w:sz w:val="32"/>
          <w:szCs w:val="32"/>
        </w:rPr>
        <w:t>提供的银行账户如有变动，应以书面形式提前通知采购人。因</w:t>
      </w:r>
      <w:r>
        <w:rPr>
          <w:rFonts w:hint="eastAsia" w:ascii="仿宋" w:hAnsi="仿宋" w:eastAsia="仿宋" w:cs="仿宋"/>
          <w:sz w:val="32"/>
          <w:szCs w:val="32"/>
          <w:lang w:eastAsia="zh-CN"/>
        </w:rPr>
        <w:t>中标供应商</w:t>
      </w:r>
      <w:r>
        <w:rPr>
          <w:rFonts w:hint="eastAsia" w:ascii="仿宋" w:hAnsi="仿宋" w:eastAsia="仿宋" w:cs="仿宋"/>
          <w:sz w:val="32"/>
          <w:szCs w:val="32"/>
        </w:rPr>
        <w:t>提供的银行账户错误或变更导致</w:t>
      </w:r>
      <w:r>
        <w:rPr>
          <w:rFonts w:hint="eastAsia" w:ascii="仿宋" w:hAnsi="仿宋" w:eastAsia="仿宋" w:cs="仿宋"/>
          <w:sz w:val="32"/>
          <w:szCs w:val="32"/>
          <w:lang w:eastAsia="zh-CN"/>
        </w:rPr>
        <w:t>中标供应商</w:t>
      </w:r>
      <w:r>
        <w:rPr>
          <w:rFonts w:hint="eastAsia" w:ascii="仿宋" w:hAnsi="仿宋" w:eastAsia="仿宋" w:cs="仿宋"/>
          <w:sz w:val="32"/>
          <w:szCs w:val="32"/>
        </w:rPr>
        <w:t>没有收到采购人款项的，采购人不承担任何责任。</w:t>
      </w:r>
    </w:p>
    <w:p w14:paraId="7B6D5750">
      <w:pPr>
        <w:pStyle w:val="18"/>
        <w:numPr>
          <w:ilvl w:val="0"/>
          <w:numId w:val="3"/>
        </w:numPr>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lang w:eastAsia="zh-CN"/>
        </w:rPr>
        <w:t>中标供应商</w:t>
      </w:r>
      <w:r>
        <w:rPr>
          <w:rFonts w:hint="eastAsia" w:ascii="仿宋" w:hAnsi="仿宋" w:eastAsia="仿宋" w:cs="仿宋"/>
          <w:sz w:val="32"/>
          <w:szCs w:val="32"/>
        </w:rPr>
        <w:t>应理解采购人付款的相关程序，因采购人使用的是财政资金，采购人在前款规定的付款时间为向财政支付部门提出办理财政支付申请手续的时间，不含财政支付部门审核的时间，采购人在约定期限内向财政支付部门发出付款申请即视为采购人已按期支付。因财政支付审批流程及办理手续而造成项目支付进度有所推延，采购人不承担逾期付款违约责任。</w:t>
      </w:r>
    </w:p>
    <w:p w14:paraId="3AD886B9">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（三）项目预算总价及报价要求</w:t>
      </w:r>
    </w:p>
    <w:p w14:paraId="04CA16FF">
      <w:pPr>
        <w:spacing w:before="0" w:beforeAutospacing="0" w:after="0" w:afterAutospacing="0" w:line="560" w:lineRule="exact"/>
        <w:ind w:firstLine="640" w:firstLineChars="200"/>
        <w:jc w:val="both"/>
        <w:rPr>
          <w:rFonts w:ascii="仿宋" w:hAnsi="仿宋" w:eastAsia="仿宋" w:cs="仿宋"/>
          <w:sz w:val="32"/>
          <w:szCs w:val="32"/>
        </w:rPr>
      </w:pPr>
      <w:r>
        <w:rPr>
          <w:rFonts w:hint="eastAsia" w:ascii="仿宋" w:hAnsi="仿宋" w:eastAsia="仿宋" w:cs="仿宋"/>
          <w:color w:val="auto"/>
          <w:sz w:val="32"/>
          <w:szCs w:val="32"/>
        </w:rPr>
        <w:t>1.项目最高限价</w:t>
      </w:r>
      <w:r>
        <w:rPr>
          <w:rFonts w:hint="eastAsia" w:ascii="仿宋" w:hAnsi="仿宋" w:eastAsia="仿宋" w:cs="仿宋"/>
          <w:color w:val="auto"/>
          <w:sz w:val="32"/>
          <w:szCs w:val="32"/>
          <w:lang w:val="en-US" w:eastAsia="zh-CN"/>
        </w:rPr>
        <w:t>85</w:t>
      </w:r>
      <w:r>
        <w:rPr>
          <w:rFonts w:hint="eastAsia" w:ascii="仿宋" w:hAnsi="仿宋" w:eastAsia="仿宋" w:cs="仿宋"/>
          <w:color w:val="auto"/>
          <w:sz w:val="32"/>
          <w:szCs w:val="32"/>
        </w:rPr>
        <w:t>0000元，包括在服务期内共250个工作日内为</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名工作人员提供早餐、午餐的所有费用。</w:t>
      </w:r>
      <w:r>
        <w:rPr>
          <w:rFonts w:hint="eastAsia" w:ascii="仿宋" w:hAnsi="仿宋" w:eastAsia="仿宋" w:cs="仿宋"/>
          <w:spacing w:val="2"/>
          <w:kern w:val="0"/>
          <w:sz w:val="32"/>
          <w:szCs w:val="32"/>
          <w:highlight w:val="none"/>
        </w:rPr>
        <w:t>服务期内结算金额应根据供应商提供的早餐、午餐实际数量进行结算。</w:t>
      </w:r>
      <w:r>
        <w:rPr>
          <w:rFonts w:hint="eastAsia" w:ascii="仿宋" w:hAnsi="仿宋" w:eastAsia="仿宋" w:cs="仿宋"/>
          <w:bCs w:val="0"/>
          <w:spacing w:val="2"/>
          <w:kern w:val="0"/>
          <w:sz w:val="32"/>
          <w:szCs w:val="32"/>
        </w:rPr>
        <w:t>自合同签订之日起1年或提供服务采购费用总额累计达到本项</w:t>
      </w:r>
      <w:r>
        <w:rPr>
          <w:rFonts w:ascii="仿宋" w:hAnsi="仿宋" w:eastAsia="仿宋"/>
          <w:bCs/>
          <w:sz w:val="32"/>
          <w:szCs w:val="32"/>
        </w:rPr>
        <w:t>目</w:t>
      </w:r>
      <w:r>
        <w:rPr>
          <w:rFonts w:hint="eastAsia" w:ascii="仿宋" w:hAnsi="仿宋" w:eastAsia="仿宋"/>
          <w:bCs/>
          <w:sz w:val="32"/>
          <w:szCs w:val="32"/>
        </w:rPr>
        <w:t>最高限价金额时，本合同随之终止。</w:t>
      </w:r>
    </w:p>
    <w:p w14:paraId="620D2011">
      <w:pPr>
        <w:pStyle w:val="18"/>
        <w:spacing w:before="0" w:beforeAutospacing="0" w:after="0" w:afterAutospacing="0" w:line="560" w:lineRule="exact"/>
        <w:ind w:firstLine="640" w:firstLineChars="200"/>
        <w:jc w:val="both"/>
        <w:rPr>
          <w:rFonts w:hint="eastAsia" w:ascii="仿宋" w:hAnsi="仿宋" w:eastAsia="仿宋" w:cs="仿宋"/>
          <w:color w:val="auto"/>
          <w:spacing w:val="0"/>
          <w:kern w:val="2"/>
          <w:sz w:val="32"/>
          <w:szCs w:val="32"/>
        </w:rPr>
      </w:pPr>
      <w:r>
        <w:rPr>
          <w:rFonts w:hint="eastAsia" w:ascii="仿宋" w:hAnsi="仿宋" w:eastAsia="仿宋" w:cs="仿宋"/>
          <w:color w:val="auto"/>
          <w:spacing w:val="0"/>
          <w:kern w:val="2"/>
          <w:sz w:val="32"/>
          <w:szCs w:val="32"/>
          <w:lang w:val="en-US" w:eastAsia="zh-CN"/>
        </w:rPr>
        <w:t>2</w:t>
      </w:r>
      <w:r>
        <w:rPr>
          <w:rFonts w:hint="eastAsia" w:ascii="仿宋" w:hAnsi="仿宋" w:eastAsia="仿宋" w:cs="仿宋"/>
          <w:color w:val="auto"/>
          <w:spacing w:val="0"/>
          <w:kern w:val="2"/>
          <w:sz w:val="32"/>
          <w:szCs w:val="32"/>
        </w:rPr>
        <w:t>.服务期内，乙方负责饭堂所使用的设施设备的维护及维修，维护维修所产生的相关费用</w:t>
      </w:r>
      <w:r>
        <w:rPr>
          <w:rFonts w:hint="eastAsia" w:ascii="仿宋" w:hAnsi="仿宋" w:eastAsia="仿宋" w:cs="仿宋"/>
          <w:color w:val="auto"/>
          <w:spacing w:val="0"/>
          <w:kern w:val="2"/>
          <w:sz w:val="32"/>
          <w:szCs w:val="32"/>
          <w:lang w:val="en-US" w:eastAsia="zh-CN"/>
        </w:rPr>
        <w:t>和</w:t>
      </w:r>
      <w:r>
        <w:rPr>
          <w:rFonts w:hint="eastAsia" w:ascii="仿宋" w:hAnsi="仿宋" w:eastAsia="仿宋" w:cs="仿宋"/>
          <w:color w:val="auto"/>
          <w:spacing w:val="0"/>
          <w:kern w:val="2"/>
          <w:sz w:val="32"/>
          <w:szCs w:val="32"/>
        </w:rPr>
        <w:t>水、电、燃气等费用由乙方负担，饭堂场地内或者因设施而发生的一切安全事故由乙方承担。</w:t>
      </w:r>
    </w:p>
    <w:p w14:paraId="517D9190">
      <w:pPr>
        <w:pStyle w:val="18"/>
        <w:spacing w:before="0" w:beforeAutospacing="0" w:after="0" w:afterAutospacing="0" w:line="560" w:lineRule="exact"/>
        <w:ind w:firstLine="640" w:firstLineChars="200"/>
        <w:jc w:val="both"/>
        <w:rPr>
          <w:rFonts w:hint="eastAsia" w:ascii="仿宋" w:hAnsi="仿宋" w:eastAsia="仿宋" w:cs="仿宋"/>
          <w:color w:val="auto"/>
          <w:spacing w:val="0"/>
          <w:kern w:val="2"/>
          <w:sz w:val="32"/>
          <w:szCs w:val="32"/>
        </w:rPr>
      </w:pPr>
      <w:r>
        <w:rPr>
          <w:rFonts w:hint="eastAsia" w:ascii="仿宋" w:hAnsi="仿宋" w:eastAsia="仿宋" w:cs="仿宋"/>
          <w:color w:val="auto"/>
          <w:spacing w:val="0"/>
          <w:kern w:val="2"/>
          <w:sz w:val="32"/>
          <w:szCs w:val="32"/>
          <w:lang w:val="en-US" w:eastAsia="zh-CN"/>
        </w:rPr>
        <w:t>3.中标</w:t>
      </w:r>
      <w:r>
        <w:rPr>
          <w:rFonts w:hint="eastAsia" w:ascii="仿宋" w:hAnsi="仿宋" w:eastAsia="仿宋" w:cs="仿宋"/>
          <w:color w:val="auto"/>
          <w:spacing w:val="0"/>
          <w:kern w:val="2"/>
          <w:sz w:val="32"/>
          <w:szCs w:val="32"/>
        </w:rPr>
        <w:t>供应商</w:t>
      </w:r>
      <w:r>
        <w:rPr>
          <w:rFonts w:hint="eastAsia" w:ascii="仿宋" w:hAnsi="仿宋" w:eastAsia="仿宋" w:cs="仿宋"/>
          <w:color w:val="auto"/>
          <w:spacing w:val="0"/>
          <w:kern w:val="2"/>
          <w:sz w:val="32"/>
          <w:szCs w:val="32"/>
          <w:lang w:val="en-US" w:eastAsia="zh-CN"/>
        </w:rPr>
        <w:t>应参照省、市、区关于学校食堂管理的要求，落实采购与管理相关责任，且</w:t>
      </w:r>
      <w:r>
        <w:rPr>
          <w:rFonts w:hint="eastAsia" w:ascii="仿宋" w:hAnsi="仿宋" w:eastAsia="仿宋" w:cs="仿宋"/>
          <w:color w:val="auto"/>
          <w:spacing w:val="0"/>
          <w:kern w:val="2"/>
          <w:sz w:val="32"/>
          <w:szCs w:val="32"/>
        </w:rPr>
        <w:t>购买大宗食品与原辅料的成本率不低于主营收入的</w:t>
      </w:r>
      <w:r>
        <w:rPr>
          <w:rFonts w:hint="eastAsia" w:ascii="仿宋" w:hAnsi="仿宋" w:eastAsia="仿宋" w:cs="仿宋"/>
          <w:color w:val="auto"/>
          <w:spacing w:val="0"/>
          <w:kern w:val="2"/>
          <w:sz w:val="32"/>
          <w:szCs w:val="32"/>
          <w:lang w:val="en-US" w:eastAsia="zh-CN"/>
        </w:rPr>
        <w:t>66</w:t>
      </w:r>
      <w:r>
        <w:rPr>
          <w:rFonts w:hint="eastAsia" w:ascii="仿宋" w:hAnsi="仿宋" w:eastAsia="仿宋" w:cs="仿宋"/>
          <w:color w:val="auto"/>
          <w:spacing w:val="0"/>
          <w:kern w:val="2"/>
          <w:sz w:val="32"/>
          <w:szCs w:val="32"/>
        </w:rPr>
        <w:t>%。</w:t>
      </w:r>
    </w:p>
    <w:p w14:paraId="16898EDF">
      <w:pPr>
        <w:pStyle w:val="18"/>
        <w:spacing w:before="0" w:beforeAutospacing="0" w:after="0" w:afterAutospacing="0" w:line="560" w:lineRule="exact"/>
        <w:ind w:firstLine="648" w:firstLineChars="200"/>
        <w:jc w:val="both"/>
        <w:rPr>
          <w:rFonts w:hint="eastAsia" w:ascii="仿宋" w:hAnsi="仿宋" w:eastAsia="仿宋" w:cs="仿宋"/>
          <w:sz w:val="32"/>
          <w:szCs w:val="32"/>
          <w:lang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rPr>
        <w:t>.</w:t>
      </w:r>
      <w:r>
        <w:rPr>
          <w:rFonts w:hint="eastAsia" w:ascii="仿宋" w:hAnsi="仿宋" w:eastAsia="仿宋" w:cs="仿宋"/>
          <w:sz w:val="32"/>
          <w:szCs w:val="32"/>
          <w:lang w:eastAsia="zh-CN"/>
        </w:rPr>
        <w:t>中标供应商</w:t>
      </w:r>
      <w:r>
        <w:rPr>
          <w:rFonts w:hint="eastAsia" w:ascii="仿宋" w:hAnsi="仿宋" w:eastAsia="仿宋" w:cs="仿宋"/>
          <w:sz w:val="32"/>
          <w:szCs w:val="32"/>
        </w:rPr>
        <w:t>必须自行考虑在项目实施期间的一切可能产生的费用，在项目的实施过程中，采购人除了支付合同付款方式中规定的款项外，一切合同规定外的费用将拒绝支付。</w:t>
      </w:r>
    </w:p>
    <w:p w14:paraId="7D5C5372">
      <w:pPr>
        <w:pStyle w:val="18"/>
        <w:spacing w:before="0" w:beforeAutospacing="0" w:after="0" w:afterAutospacing="0" w:line="560" w:lineRule="exact"/>
        <w:ind w:firstLine="648" w:firstLineChars="200"/>
        <w:jc w:val="both"/>
        <w:rPr>
          <w:rFonts w:ascii="仿宋" w:hAnsi="仿宋" w:eastAsia="仿宋" w:cs="仿宋"/>
          <w:sz w:val="32"/>
          <w:szCs w:val="32"/>
        </w:rPr>
      </w:pPr>
      <w:r>
        <w:rPr>
          <w:rFonts w:ascii="仿宋" w:hAnsi="仿宋" w:eastAsia="仿宋" w:cs="仿宋"/>
          <w:sz w:val="32"/>
          <w:szCs w:val="32"/>
        </w:rPr>
        <w:t>（</w:t>
      </w:r>
      <w:r>
        <w:rPr>
          <w:rFonts w:hint="eastAsia" w:ascii="仿宋" w:hAnsi="仿宋" w:eastAsia="仿宋" w:cs="仿宋"/>
          <w:sz w:val="32"/>
          <w:szCs w:val="32"/>
        </w:rPr>
        <w:t>四</w:t>
      </w:r>
      <w:r>
        <w:rPr>
          <w:rFonts w:ascii="仿宋" w:hAnsi="仿宋" w:eastAsia="仿宋" w:cs="仿宋"/>
          <w:sz w:val="32"/>
          <w:szCs w:val="32"/>
        </w:rPr>
        <w:t>）</w:t>
      </w:r>
      <w:r>
        <w:rPr>
          <w:rFonts w:hint="eastAsia" w:ascii="仿宋" w:hAnsi="仿宋" w:eastAsia="仿宋" w:cs="仿宋"/>
          <w:sz w:val="32"/>
          <w:szCs w:val="32"/>
        </w:rPr>
        <w:t>监督机制</w:t>
      </w:r>
    </w:p>
    <w:p w14:paraId="55718922">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lang w:eastAsia="zh-CN"/>
        </w:rPr>
        <w:t>中标供应商</w:t>
      </w:r>
      <w:r>
        <w:rPr>
          <w:rFonts w:hint="eastAsia" w:ascii="仿宋" w:hAnsi="仿宋" w:eastAsia="仿宋" w:cs="仿宋"/>
          <w:sz w:val="32"/>
          <w:szCs w:val="32"/>
        </w:rPr>
        <w:t>的服务活动应接受采购人、市场监督局等部门的监督检查，监督检查贯穿在</w:t>
      </w:r>
      <w:r>
        <w:rPr>
          <w:rFonts w:hint="eastAsia" w:ascii="仿宋" w:hAnsi="仿宋" w:eastAsia="仿宋" w:cs="仿宋"/>
          <w:sz w:val="32"/>
          <w:szCs w:val="32"/>
          <w:lang w:eastAsia="zh-CN"/>
        </w:rPr>
        <w:t>中标供应商</w:t>
      </w:r>
      <w:r>
        <w:rPr>
          <w:rFonts w:hint="eastAsia" w:ascii="仿宋" w:hAnsi="仿宋" w:eastAsia="仿宋" w:cs="仿宋"/>
          <w:sz w:val="32"/>
          <w:szCs w:val="32"/>
        </w:rPr>
        <w:t>的全过程，包括以下项目：</w:t>
      </w:r>
    </w:p>
    <w:p w14:paraId="6CF2F7D9">
      <w:pPr>
        <w:pStyle w:val="18"/>
        <w:numPr>
          <w:ilvl w:val="0"/>
          <w:numId w:val="4"/>
        </w:numPr>
        <w:spacing w:before="0" w:beforeAutospacing="0" w:after="0" w:afterAutospacing="0" w:line="560" w:lineRule="exact"/>
        <w:ind w:left="0" w:firstLine="648" w:firstLineChars="200"/>
        <w:jc w:val="both"/>
        <w:rPr>
          <w:rFonts w:ascii="仿宋" w:hAnsi="仿宋" w:eastAsia="仿宋" w:cs="仿宋"/>
          <w:sz w:val="32"/>
          <w:szCs w:val="32"/>
        </w:rPr>
      </w:pPr>
      <w:r>
        <w:rPr>
          <w:rFonts w:hint="eastAsia" w:ascii="仿宋" w:hAnsi="仿宋" w:eastAsia="仿宋" w:cs="仿宋"/>
          <w:sz w:val="32"/>
          <w:szCs w:val="32"/>
          <w:lang w:eastAsia="zh-CN"/>
        </w:rPr>
        <w:t>中标供应商</w:t>
      </w:r>
      <w:r>
        <w:rPr>
          <w:rFonts w:hint="eastAsia" w:ascii="仿宋" w:hAnsi="仿宋" w:eastAsia="仿宋" w:cs="仿宋"/>
          <w:sz w:val="32"/>
          <w:szCs w:val="32"/>
        </w:rPr>
        <w:t>雇请的食堂工作人员的身体健康情况监督：食堂工作人员必须经过体检合格，持有健康证、上岗证。</w:t>
      </w:r>
    </w:p>
    <w:p w14:paraId="7000791F">
      <w:pPr>
        <w:pStyle w:val="18"/>
        <w:numPr>
          <w:ilvl w:val="0"/>
          <w:numId w:val="4"/>
        </w:numPr>
        <w:spacing w:before="0" w:beforeAutospacing="0" w:after="0" w:afterAutospacing="0" w:line="560" w:lineRule="exact"/>
        <w:ind w:left="0" w:firstLine="648" w:firstLineChars="200"/>
        <w:jc w:val="both"/>
        <w:rPr>
          <w:rFonts w:ascii="仿宋" w:hAnsi="仿宋" w:eastAsia="仿宋" w:cs="仿宋"/>
          <w:sz w:val="32"/>
          <w:szCs w:val="32"/>
        </w:rPr>
      </w:pPr>
      <w:r>
        <w:rPr>
          <w:rFonts w:hint="eastAsia" w:ascii="仿宋" w:hAnsi="仿宋" w:eastAsia="仿宋" w:cs="仿宋"/>
          <w:sz w:val="32"/>
          <w:szCs w:val="32"/>
        </w:rPr>
        <w:t>菜式品种的数量监督：要求每顿供应的菜式必须达到合同约定的数量；</w:t>
      </w:r>
    </w:p>
    <w:p w14:paraId="51F9C0C8">
      <w:pPr>
        <w:pStyle w:val="18"/>
        <w:numPr>
          <w:ilvl w:val="0"/>
          <w:numId w:val="4"/>
        </w:numPr>
        <w:spacing w:before="0" w:beforeAutospacing="0" w:after="0" w:afterAutospacing="0" w:line="560" w:lineRule="exact"/>
        <w:ind w:left="0" w:firstLine="648" w:firstLineChars="200"/>
        <w:jc w:val="both"/>
        <w:rPr>
          <w:rFonts w:ascii="仿宋" w:hAnsi="仿宋" w:eastAsia="仿宋" w:cs="仿宋"/>
          <w:sz w:val="32"/>
          <w:szCs w:val="32"/>
        </w:rPr>
      </w:pPr>
      <w:r>
        <w:rPr>
          <w:rFonts w:hint="eastAsia" w:ascii="仿宋" w:hAnsi="仿宋" w:eastAsia="仿宋" w:cs="仿宋"/>
          <w:sz w:val="32"/>
          <w:szCs w:val="32"/>
        </w:rPr>
        <w:t>产品的质量监督：</w:t>
      </w:r>
      <w:r>
        <w:rPr>
          <w:rFonts w:hint="eastAsia" w:ascii="仿宋" w:hAnsi="仿宋" w:eastAsia="仿宋" w:cs="仿宋"/>
          <w:sz w:val="32"/>
          <w:szCs w:val="32"/>
          <w:lang w:eastAsia="zh-CN"/>
        </w:rPr>
        <w:t>中标供应商</w:t>
      </w:r>
      <w:r>
        <w:rPr>
          <w:rFonts w:hint="eastAsia" w:ascii="仿宋" w:hAnsi="仿宋" w:eastAsia="仿宋" w:cs="仿宋"/>
          <w:sz w:val="32"/>
          <w:szCs w:val="32"/>
        </w:rPr>
        <w:t>所制作的食品质量要求必须符合国家的卫生、安全标准。根据采购人就餐人数、就餐标准和经验积累，做到不留隔夜原料，不留隔餐制成品；</w:t>
      </w:r>
    </w:p>
    <w:p w14:paraId="5C837EA8">
      <w:pPr>
        <w:pStyle w:val="18"/>
        <w:numPr>
          <w:ilvl w:val="0"/>
          <w:numId w:val="4"/>
        </w:numPr>
        <w:spacing w:before="0" w:beforeAutospacing="0" w:after="0" w:afterAutospacing="0" w:line="560" w:lineRule="exact"/>
        <w:ind w:left="0" w:firstLine="648" w:firstLineChars="200"/>
        <w:jc w:val="both"/>
        <w:rPr>
          <w:rFonts w:ascii="仿宋" w:hAnsi="仿宋" w:eastAsia="仿宋" w:cs="仿宋"/>
          <w:sz w:val="32"/>
          <w:szCs w:val="32"/>
        </w:rPr>
      </w:pPr>
      <w:r>
        <w:rPr>
          <w:rFonts w:hint="eastAsia" w:ascii="仿宋" w:hAnsi="仿宋" w:eastAsia="仿宋" w:cs="仿宋"/>
          <w:sz w:val="32"/>
          <w:szCs w:val="32"/>
        </w:rPr>
        <w:t>服务监督：</w:t>
      </w:r>
      <w:r>
        <w:rPr>
          <w:rFonts w:hint="eastAsia" w:ascii="仿宋" w:hAnsi="仿宋" w:eastAsia="仿宋" w:cs="仿宋"/>
          <w:sz w:val="32"/>
          <w:szCs w:val="32"/>
          <w:lang w:eastAsia="zh-CN"/>
        </w:rPr>
        <w:t>中标供应商</w:t>
      </w:r>
      <w:r>
        <w:rPr>
          <w:rFonts w:hint="eastAsia" w:ascii="仿宋" w:hAnsi="仿宋" w:eastAsia="仿宋" w:cs="仿宋"/>
          <w:sz w:val="32"/>
          <w:szCs w:val="32"/>
        </w:rPr>
        <w:t>必须提供优质服务，各顿膳食供应必须遵守约定时间，按时供应。</w:t>
      </w:r>
      <w:r>
        <w:rPr>
          <w:rFonts w:hint="eastAsia" w:ascii="仿宋" w:hAnsi="仿宋" w:eastAsia="仿宋" w:cs="仿宋"/>
          <w:sz w:val="32"/>
          <w:szCs w:val="32"/>
          <w:lang w:eastAsia="zh-CN"/>
        </w:rPr>
        <w:t>中标供应商</w:t>
      </w:r>
      <w:r>
        <w:rPr>
          <w:rFonts w:hint="eastAsia" w:ascii="仿宋" w:hAnsi="仿宋" w:eastAsia="仿宋" w:cs="仿宋"/>
          <w:sz w:val="32"/>
          <w:szCs w:val="32"/>
        </w:rPr>
        <w:t>对食堂进行独立会计核算，配合采购人加强对食堂账务的监督。</w:t>
      </w:r>
    </w:p>
    <w:p w14:paraId="0F108042">
      <w:pPr>
        <w:pStyle w:val="18"/>
        <w:spacing w:before="0" w:beforeAutospacing="0" w:after="0" w:afterAutospacing="0" w:line="560" w:lineRule="exact"/>
        <w:ind w:firstLine="648" w:firstLineChars="200"/>
        <w:jc w:val="both"/>
        <w:rPr>
          <w:rFonts w:ascii="仿宋" w:hAnsi="仿宋" w:eastAsia="仿宋" w:cs="仿宋"/>
          <w:sz w:val="32"/>
          <w:szCs w:val="32"/>
        </w:rPr>
      </w:pPr>
      <w:r>
        <w:rPr>
          <w:rFonts w:ascii="仿宋" w:hAnsi="仿宋" w:eastAsia="仿宋" w:cs="仿宋"/>
          <w:sz w:val="32"/>
          <w:szCs w:val="32"/>
        </w:rPr>
        <w:t>（</w:t>
      </w:r>
      <w:r>
        <w:rPr>
          <w:rFonts w:hint="eastAsia" w:ascii="仿宋" w:hAnsi="仿宋" w:eastAsia="仿宋" w:cs="仿宋"/>
          <w:sz w:val="32"/>
          <w:szCs w:val="32"/>
        </w:rPr>
        <w:t>五</w:t>
      </w:r>
      <w:r>
        <w:rPr>
          <w:rFonts w:ascii="仿宋" w:hAnsi="仿宋" w:eastAsia="仿宋" w:cs="仿宋"/>
          <w:sz w:val="32"/>
          <w:szCs w:val="32"/>
        </w:rPr>
        <w:t>）</w:t>
      </w:r>
      <w:r>
        <w:rPr>
          <w:rFonts w:hint="eastAsia" w:ascii="仿宋" w:hAnsi="仿宋" w:eastAsia="仿宋" w:cs="仿宋"/>
          <w:sz w:val="32"/>
          <w:szCs w:val="32"/>
        </w:rPr>
        <w:t>考核标准</w:t>
      </w:r>
    </w:p>
    <w:p w14:paraId="6A679A34">
      <w:pPr>
        <w:pStyle w:val="18"/>
        <w:numPr>
          <w:ilvl w:val="0"/>
          <w:numId w:val="5"/>
        </w:numPr>
        <w:spacing w:before="0" w:beforeAutospacing="0" w:after="0" w:afterAutospacing="0" w:line="560" w:lineRule="exact"/>
        <w:ind w:left="0" w:firstLine="648" w:firstLineChars="200"/>
        <w:jc w:val="both"/>
        <w:rPr>
          <w:rFonts w:ascii="仿宋" w:hAnsi="仿宋" w:eastAsia="仿宋" w:cs="仿宋"/>
          <w:sz w:val="32"/>
          <w:szCs w:val="32"/>
        </w:rPr>
      </w:pPr>
      <w:r>
        <w:rPr>
          <w:rFonts w:hint="eastAsia" w:ascii="仿宋" w:hAnsi="仿宋" w:eastAsia="仿宋" w:cs="仿宋"/>
          <w:sz w:val="32"/>
          <w:szCs w:val="32"/>
        </w:rPr>
        <w:t>采购人根据考核评分表（见附</w:t>
      </w:r>
      <w:r>
        <w:rPr>
          <w:rFonts w:hint="eastAsia" w:ascii="仿宋" w:hAnsi="仿宋" w:eastAsia="仿宋" w:cs="仿宋"/>
          <w:sz w:val="32"/>
          <w:szCs w:val="32"/>
          <w:lang w:val="en-US" w:eastAsia="zh-CN"/>
        </w:rPr>
        <w:t>表4</w:t>
      </w:r>
      <w:r>
        <w:rPr>
          <w:rFonts w:hint="eastAsia" w:ascii="仿宋" w:hAnsi="仿宋" w:eastAsia="仿宋" w:cs="仿宋"/>
          <w:sz w:val="32"/>
          <w:szCs w:val="32"/>
        </w:rPr>
        <w:t>）对</w:t>
      </w:r>
      <w:r>
        <w:rPr>
          <w:rFonts w:hint="eastAsia" w:ascii="仿宋" w:hAnsi="仿宋" w:eastAsia="仿宋" w:cs="仿宋"/>
          <w:sz w:val="32"/>
          <w:szCs w:val="32"/>
          <w:lang w:eastAsia="zh-CN"/>
        </w:rPr>
        <w:t>中标供应商</w:t>
      </w:r>
      <w:r>
        <w:rPr>
          <w:rFonts w:hint="eastAsia" w:ascii="仿宋" w:hAnsi="仿宋" w:eastAsia="仿宋" w:cs="仿宋"/>
          <w:sz w:val="32"/>
          <w:szCs w:val="32"/>
        </w:rPr>
        <w:t>每月进行一次考核评定，当考核平均分低于95分的，每低1分，采购人则按10元/分的比例对</w:t>
      </w:r>
      <w:r>
        <w:rPr>
          <w:rFonts w:hint="eastAsia" w:ascii="仿宋" w:hAnsi="仿宋" w:eastAsia="仿宋" w:cs="仿宋"/>
          <w:sz w:val="32"/>
          <w:szCs w:val="32"/>
          <w:lang w:eastAsia="zh-CN"/>
        </w:rPr>
        <w:t>中标供应商</w:t>
      </w:r>
      <w:r>
        <w:rPr>
          <w:rFonts w:hint="eastAsia" w:ascii="仿宋" w:hAnsi="仿宋" w:eastAsia="仿宋" w:cs="仿宋"/>
          <w:sz w:val="32"/>
          <w:szCs w:val="32"/>
        </w:rPr>
        <w:t>进行扣除违约金（违约金从当期或下期的服务费用中扣除），并发出限期整改通知书，限期整改；如</w:t>
      </w:r>
      <w:r>
        <w:rPr>
          <w:rFonts w:hint="eastAsia" w:ascii="仿宋" w:hAnsi="仿宋" w:eastAsia="仿宋" w:cs="仿宋"/>
          <w:sz w:val="32"/>
          <w:szCs w:val="32"/>
          <w:lang w:eastAsia="zh-CN"/>
        </w:rPr>
        <w:t>中标供应商</w:t>
      </w:r>
      <w:r>
        <w:rPr>
          <w:rFonts w:hint="eastAsia" w:ascii="仿宋" w:hAnsi="仿宋" w:eastAsia="仿宋" w:cs="仿宋"/>
          <w:sz w:val="32"/>
          <w:szCs w:val="32"/>
        </w:rPr>
        <w:t>发生重大事故、事件，给采购人造成严重影响、重大损失或者不良后果时，采购人可视实际情况从重从严对</w:t>
      </w:r>
      <w:r>
        <w:rPr>
          <w:rFonts w:hint="eastAsia" w:ascii="仿宋" w:hAnsi="仿宋" w:eastAsia="仿宋" w:cs="仿宋"/>
          <w:sz w:val="32"/>
          <w:szCs w:val="32"/>
          <w:lang w:eastAsia="zh-CN"/>
        </w:rPr>
        <w:t>中标供应商</w:t>
      </w:r>
      <w:r>
        <w:rPr>
          <w:rFonts w:hint="eastAsia" w:ascii="仿宋" w:hAnsi="仿宋" w:eastAsia="仿宋" w:cs="仿宋"/>
          <w:sz w:val="32"/>
          <w:szCs w:val="32"/>
        </w:rPr>
        <w:t>在当期应支付服务费的5%范围内予以扣除违约金。</w:t>
      </w:r>
    </w:p>
    <w:p w14:paraId="3DD9844A">
      <w:pPr>
        <w:pStyle w:val="18"/>
        <w:numPr>
          <w:ilvl w:val="0"/>
          <w:numId w:val="5"/>
        </w:numPr>
        <w:spacing w:before="0" w:beforeAutospacing="0" w:after="0" w:afterAutospacing="0" w:line="560" w:lineRule="exact"/>
        <w:ind w:left="0" w:firstLine="648" w:firstLineChars="200"/>
        <w:jc w:val="both"/>
        <w:rPr>
          <w:rFonts w:ascii="仿宋" w:hAnsi="仿宋" w:eastAsia="仿宋" w:cs="仿宋"/>
          <w:sz w:val="32"/>
          <w:szCs w:val="32"/>
        </w:rPr>
      </w:pPr>
      <w:r>
        <w:rPr>
          <w:rFonts w:hint="eastAsia" w:ascii="仿宋" w:hAnsi="仿宋" w:eastAsia="仿宋" w:cs="仿宋"/>
          <w:sz w:val="32"/>
          <w:szCs w:val="32"/>
        </w:rPr>
        <w:t>对采购人提出的整改内容，</w:t>
      </w:r>
      <w:r>
        <w:rPr>
          <w:rFonts w:hint="eastAsia" w:ascii="仿宋" w:hAnsi="仿宋" w:eastAsia="仿宋" w:cs="仿宋"/>
          <w:sz w:val="32"/>
          <w:szCs w:val="32"/>
          <w:lang w:eastAsia="zh-CN"/>
        </w:rPr>
        <w:t>中标供应商</w:t>
      </w:r>
      <w:r>
        <w:rPr>
          <w:rFonts w:hint="eastAsia" w:ascii="仿宋" w:hAnsi="仿宋" w:eastAsia="仿宋" w:cs="仿宋"/>
          <w:sz w:val="32"/>
          <w:szCs w:val="32"/>
        </w:rPr>
        <w:t>未能在规定期限内进行整改或整改未能达到要求的，由采购人向</w:t>
      </w:r>
      <w:r>
        <w:rPr>
          <w:rFonts w:hint="eastAsia" w:ascii="仿宋" w:hAnsi="仿宋" w:eastAsia="仿宋" w:cs="仿宋"/>
          <w:sz w:val="32"/>
          <w:szCs w:val="32"/>
          <w:lang w:eastAsia="zh-CN"/>
        </w:rPr>
        <w:t>中标供应商</w:t>
      </w:r>
      <w:r>
        <w:rPr>
          <w:rFonts w:hint="eastAsia" w:ascii="仿宋" w:hAnsi="仿宋" w:eastAsia="仿宋" w:cs="仿宋"/>
          <w:sz w:val="32"/>
          <w:szCs w:val="32"/>
        </w:rPr>
        <w:t xml:space="preserve">提出警告；连续3次警告后仍未得到有效解决的，采购人有权终止管理合同。 </w:t>
      </w:r>
    </w:p>
    <w:p w14:paraId="457293C4">
      <w:pPr>
        <w:pStyle w:val="18"/>
        <w:spacing w:before="0" w:beforeAutospacing="0" w:after="0" w:afterAutospacing="0" w:line="560" w:lineRule="exact"/>
        <w:ind w:firstLine="648" w:firstLineChars="200"/>
        <w:jc w:val="both"/>
        <w:rPr>
          <w:rFonts w:ascii="仿宋" w:hAnsi="仿宋" w:eastAsia="仿宋" w:cs="仿宋"/>
          <w:sz w:val="32"/>
          <w:szCs w:val="32"/>
        </w:rPr>
      </w:pPr>
      <w:r>
        <w:rPr>
          <w:rFonts w:ascii="仿宋" w:hAnsi="仿宋" w:eastAsia="仿宋" w:cs="仿宋"/>
          <w:sz w:val="32"/>
          <w:szCs w:val="32"/>
        </w:rPr>
        <w:t>（</w:t>
      </w:r>
      <w:r>
        <w:rPr>
          <w:rFonts w:hint="eastAsia" w:ascii="仿宋" w:hAnsi="仿宋" w:eastAsia="仿宋" w:cs="仿宋"/>
          <w:sz w:val="32"/>
          <w:szCs w:val="32"/>
        </w:rPr>
        <w:t>六</w:t>
      </w:r>
      <w:r>
        <w:rPr>
          <w:rFonts w:ascii="仿宋" w:hAnsi="仿宋" w:eastAsia="仿宋" w:cs="仿宋"/>
          <w:sz w:val="32"/>
          <w:szCs w:val="32"/>
        </w:rPr>
        <w:t>）</w:t>
      </w:r>
      <w:r>
        <w:rPr>
          <w:rFonts w:hint="eastAsia" w:ascii="仿宋" w:hAnsi="仿宋" w:eastAsia="仿宋" w:cs="仿宋"/>
          <w:sz w:val="32"/>
          <w:szCs w:val="32"/>
        </w:rPr>
        <w:t>退出机制</w:t>
      </w:r>
    </w:p>
    <w:p w14:paraId="0EA89B20">
      <w:pPr>
        <w:pStyle w:val="18"/>
        <w:numPr>
          <w:ilvl w:val="0"/>
          <w:numId w:val="6"/>
        </w:numPr>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lang w:eastAsia="zh-CN"/>
        </w:rPr>
        <w:t>中标供应商</w:t>
      </w:r>
      <w:r>
        <w:rPr>
          <w:rFonts w:hint="eastAsia" w:ascii="仿宋" w:hAnsi="仿宋" w:eastAsia="仿宋" w:cs="仿宋"/>
          <w:sz w:val="32"/>
          <w:szCs w:val="32"/>
        </w:rPr>
        <w:t>在服务期满后按与采购人签订合同条款自然退出。但</w:t>
      </w:r>
      <w:r>
        <w:rPr>
          <w:rFonts w:hint="eastAsia" w:ascii="仿宋" w:hAnsi="仿宋" w:eastAsia="仿宋" w:cs="仿宋"/>
          <w:sz w:val="32"/>
          <w:szCs w:val="32"/>
          <w:lang w:eastAsia="zh-CN"/>
        </w:rPr>
        <w:t>中标供应商</w:t>
      </w:r>
      <w:r>
        <w:rPr>
          <w:rFonts w:hint="eastAsia" w:ascii="仿宋" w:hAnsi="仿宋" w:eastAsia="仿宋" w:cs="仿宋"/>
          <w:sz w:val="32"/>
          <w:szCs w:val="32"/>
        </w:rPr>
        <w:t>必须无条件配合采购人和下一任</w:t>
      </w:r>
      <w:r>
        <w:rPr>
          <w:rFonts w:hint="eastAsia" w:ascii="仿宋" w:hAnsi="仿宋" w:eastAsia="仿宋" w:cs="仿宋"/>
          <w:sz w:val="32"/>
          <w:szCs w:val="32"/>
          <w:lang w:eastAsia="zh-CN"/>
        </w:rPr>
        <w:t>中标供应商</w:t>
      </w:r>
      <w:r>
        <w:rPr>
          <w:rFonts w:hint="eastAsia" w:ascii="仿宋" w:hAnsi="仿宋" w:eastAsia="仿宋" w:cs="仿宋"/>
          <w:sz w:val="32"/>
          <w:szCs w:val="32"/>
        </w:rPr>
        <w:t>做好食堂各方面的交接工作，确保食堂工作平稳过渡，为职工提供正常的膳食服务。</w:t>
      </w:r>
    </w:p>
    <w:p w14:paraId="56DAD578">
      <w:pPr>
        <w:pStyle w:val="18"/>
        <w:numPr>
          <w:ilvl w:val="0"/>
          <w:numId w:val="6"/>
        </w:numPr>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服务期届满或按合同约定或法定事由提前解除的，</w:t>
      </w:r>
      <w:r>
        <w:rPr>
          <w:rFonts w:hint="eastAsia" w:ascii="仿宋" w:hAnsi="仿宋" w:eastAsia="仿宋" w:cs="仿宋"/>
          <w:sz w:val="32"/>
          <w:szCs w:val="32"/>
          <w:lang w:eastAsia="zh-CN"/>
        </w:rPr>
        <w:t>中标供应商</w:t>
      </w:r>
      <w:r>
        <w:rPr>
          <w:rFonts w:hint="eastAsia" w:ascii="仿宋" w:hAnsi="仿宋" w:eastAsia="仿宋" w:cs="仿宋"/>
          <w:sz w:val="32"/>
          <w:szCs w:val="32"/>
        </w:rPr>
        <w:t>在场地内新增的水电设备（含水、电增容）、不可拆卸的装修无条件归采购人所有，除经采购人同意外，</w:t>
      </w:r>
      <w:r>
        <w:rPr>
          <w:rFonts w:hint="eastAsia" w:ascii="仿宋" w:hAnsi="仿宋" w:eastAsia="仿宋" w:cs="仿宋"/>
          <w:sz w:val="32"/>
          <w:szCs w:val="32"/>
          <w:lang w:eastAsia="zh-CN"/>
        </w:rPr>
        <w:t>中标供应商</w:t>
      </w:r>
      <w:r>
        <w:rPr>
          <w:rFonts w:hint="eastAsia" w:ascii="仿宋" w:hAnsi="仿宋" w:eastAsia="仿宋" w:cs="仿宋"/>
          <w:sz w:val="32"/>
          <w:szCs w:val="32"/>
        </w:rPr>
        <w:t>不得擅自拆除或破坏。除非双方续签服务合同，否则在合同届满日或合同解除通知要求的时间内，</w:t>
      </w:r>
      <w:r>
        <w:rPr>
          <w:rFonts w:hint="eastAsia" w:ascii="仿宋" w:hAnsi="仿宋" w:eastAsia="仿宋" w:cs="仿宋"/>
          <w:sz w:val="32"/>
          <w:szCs w:val="32"/>
          <w:lang w:eastAsia="zh-CN"/>
        </w:rPr>
        <w:t>中标供应商</w:t>
      </w:r>
      <w:r>
        <w:rPr>
          <w:rFonts w:hint="eastAsia" w:ascii="仿宋" w:hAnsi="仿宋" w:eastAsia="仿宋" w:cs="仿宋"/>
          <w:sz w:val="32"/>
          <w:szCs w:val="32"/>
        </w:rPr>
        <w:t>需按照采购人的要求将场地归还采购人。</w:t>
      </w:r>
    </w:p>
    <w:p w14:paraId="35468F0E">
      <w:pPr>
        <w:widowControl/>
        <w:spacing w:line="560" w:lineRule="exact"/>
        <w:ind w:firstLine="640" w:firstLineChars="200"/>
        <w:outlineLvl w:val="0"/>
        <w:rPr>
          <w:rFonts w:ascii="黑体" w:hAnsi="黑体" w:eastAsia="黑体" w:cs="黑体"/>
          <w:kern w:val="0"/>
          <w:sz w:val="32"/>
          <w:szCs w:val="32"/>
        </w:rPr>
      </w:pPr>
      <w:r>
        <w:rPr>
          <w:rFonts w:hint="eastAsia" w:ascii="黑体" w:hAnsi="黑体" w:eastAsia="黑体" w:cs="黑体"/>
          <w:kern w:val="0"/>
          <w:sz w:val="32"/>
          <w:szCs w:val="32"/>
        </w:rPr>
        <w:t>五、技术标准与要求</w:t>
      </w:r>
    </w:p>
    <w:p w14:paraId="017C3543">
      <w:pPr>
        <w:widowControl/>
        <w:spacing w:line="560" w:lineRule="exact"/>
        <w:ind w:left="470"/>
        <w:outlineLvl w:val="0"/>
        <w:rPr>
          <w:rFonts w:ascii="黑体" w:hAnsi="黑体" w:eastAsia="黑体" w:cs="黑体"/>
          <w:kern w:val="0"/>
          <w:sz w:val="32"/>
          <w:szCs w:val="32"/>
        </w:rPr>
      </w:pPr>
      <w:r>
        <w:rPr>
          <w:rFonts w:hint="eastAsia" w:ascii="黑体" w:hAnsi="黑体" w:eastAsia="黑体" w:cs="黑体"/>
          <w:kern w:val="0"/>
          <w:sz w:val="32"/>
          <w:szCs w:val="32"/>
        </w:rPr>
        <w:t>（一）服务内容</w:t>
      </w:r>
    </w:p>
    <w:p w14:paraId="46333426">
      <w:pPr>
        <w:pStyle w:val="18"/>
        <w:numPr>
          <w:ilvl w:val="-1"/>
          <w:numId w:val="0"/>
        </w:numPr>
        <w:spacing w:before="0" w:beforeAutospacing="0" w:after="0" w:afterAutospacing="0" w:line="560" w:lineRule="exact"/>
        <w:ind w:firstLine="648" w:firstLineChars="200"/>
        <w:jc w:val="both"/>
        <w:rPr>
          <w:rFonts w:hint="eastAsia" w:ascii="仿宋" w:hAnsi="仿宋" w:eastAsia="仿宋" w:cs="仿宋"/>
          <w:sz w:val="32"/>
          <w:szCs w:val="32"/>
          <w:highlight w:val="none"/>
        </w:rPr>
      </w:pPr>
      <w:r>
        <w:rPr>
          <w:rFonts w:hint="eastAsia" w:ascii="仿宋" w:hAnsi="仿宋" w:eastAsia="仿宋" w:cs="仿宋"/>
          <w:sz w:val="32"/>
          <w:szCs w:val="32"/>
          <w:highlight w:val="none"/>
        </w:rPr>
        <w:t>提供法定工作日膳食供应服务，每天保障早、午约</w:t>
      </w:r>
      <w:r>
        <w:rPr>
          <w:rFonts w:hint="eastAsia" w:ascii="仿宋" w:hAnsi="仿宋" w:eastAsia="仿宋" w:cs="仿宋"/>
          <w:color w:val="auto"/>
          <w:sz w:val="32"/>
          <w:szCs w:val="32"/>
          <w:highlight w:val="none"/>
        </w:rPr>
        <w:t>100</w:t>
      </w:r>
      <w:r>
        <w:rPr>
          <w:rFonts w:hint="eastAsia" w:ascii="仿宋" w:hAnsi="仿宋" w:eastAsia="仿宋" w:cs="仿宋"/>
          <w:sz w:val="32"/>
          <w:szCs w:val="32"/>
          <w:highlight w:val="none"/>
        </w:rPr>
        <w:t>人次/天的工作用餐，并保证菜肴质量。</w:t>
      </w:r>
    </w:p>
    <w:p w14:paraId="27FCB5EA">
      <w:pPr>
        <w:pStyle w:val="18"/>
        <w:spacing w:before="0" w:beforeAutospacing="0" w:after="0" w:afterAutospacing="0" w:line="560" w:lineRule="exact"/>
        <w:ind w:firstLine="648" w:firstLineChars="200"/>
        <w:jc w:val="both"/>
        <w:rPr>
          <w:rFonts w:hint="eastAsia" w:ascii="仿宋" w:hAnsi="仿宋" w:eastAsia="仿宋" w:cs="仿宋"/>
          <w:sz w:val="32"/>
          <w:szCs w:val="32"/>
        </w:rPr>
      </w:pPr>
      <w:r>
        <w:rPr>
          <w:rFonts w:hint="eastAsia" w:ascii="仿宋" w:hAnsi="仿宋" w:eastAsia="仿宋" w:cs="仿宋"/>
          <w:sz w:val="32"/>
          <w:szCs w:val="32"/>
          <w:highlight w:val="none"/>
        </w:rPr>
        <w:t>2.供餐时间：早餐：07:30-08:30，午餐：12:00-13:00。</w:t>
      </w:r>
    </w:p>
    <w:p w14:paraId="6499EC98">
      <w:pPr>
        <w:pStyle w:val="18"/>
        <w:spacing w:before="0" w:beforeAutospacing="0" w:after="0" w:afterAutospacing="0" w:line="560" w:lineRule="exact"/>
        <w:ind w:firstLine="648" w:firstLineChars="200"/>
        <w:jc w:val="both"/>
        <w:rPr>
          <w:rFonts w:ascii="仿宋" w:hAnsi="仿宋" w:eastAsia="仿宋" w:cs="仿宋"/>
          <w:color w:val="auto"/>
          <w:sz w:val="32"/>
          <w:szCs w:val="32"/>
        </w:rPr>
      </w:pPr>
      <w:r>
        <w:rPr>
          <w:rFonts w:hint="eastAsia" w:ascii="仿宋" w:hAnsi="仿宋" w:eastAsia="仿宋" w:cs="仿宋"/>
          <w:color w:val="auto"/>
          <w:sz w:val="32"/>
          <w:szCs w:val="32"/>
        </w:rPr>
        <w:t>3.按餐饮服务行业标准委派符合要求的餐饮服务管理员和餐饮服务从业员驻场工作，人数不少于6人。</w:t>
      </w:r>
    </w:p>
    <w:p w14:paraId="1BA7746E">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4.负责落实食堂食品安全、消防安全责任，完善食品安全事故、医疗应急等应急处置预案；</w:t>
      </w:r>
    </w:p>
    <w:p w14:paraId="5172C7FF">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5.负责落实厉行节约反对浪费的各项要求；</w:t>
      </w:r>
    </w:p>
    <w:p w14:paraId="5FE5FB95">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6.负责购买食品安全责任险、公众责任险；</w:t>
      </w:r>
    </w:p>
    <w:p w14:paraId="15637E84">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7.负责制定每周膳食计划，以及新品种的研发；</w:t>
      </w:r>
    </w:p>
    <w:p w14:paraId="582E8DA0">
      <w:pPr>
        <w:pStyle w:val="18"/>
        <w:spacing w:before="0" w:beforeAutospacing="0" w:after="0" w:afterAutospacing="0" w:line="560" w:lineRule="exact"/>
        <w:ind w:firstLine="648" w:firstLineChars="200"/>
        <w:jc w:val="both"/>
        <w:rPr>
          <w:rFonts w:ascii="仿宋" w:hAnsi="仿宋" w:eastAsia="仿宋" w:cstheme="minorEastAsia"/>
          <w:sz w:val="32"/>
          <w:szCs w:val="32"/>
        </w:rPr>
      </w:pPr>
      <w:r>
        <w:rPr>
          <w:rFonts w:hint="eastAsia" w:ascii="仿宋" w:hAnsi="仿宋" w:eastAsia="仿宋" w:cs="仿宋"/>
          <w:sz w:val="32"/>
          <w:szCs w:val="32"/>
          <w:highlight w:val="none"/>
        </w:rPr>
        <w:t>8.负责食材采购、食材验收、清洗、烹饪、加工</w:t>
      </w:r>
      <w:r>
        <w:rPr>
          <w:rFonts w:hint="eastAsia" w:ascii="仿宋" w:hAnsi="仿宋" w:eastAsia="仿宋"/>
          <w:spacing w:val="2"/>
          <w:kern w:val="0"/>
          <w:sz w:val="32"/>
          <w:szCs w:val="32"/>
          <w:lang w:eastAsia="zh-CN"/>
        </w:rPr>
        <w:t>。</w:t>
      </w:r>
      <w:r>
        <w:rPr>
          <w:rFonts w:ascii="仿宋" w:hAnsi="仿宋" w:eastAsia="仿宋"/>
          <w:spacing w:val="2"/>
          <w:kern w:val="0"/>
          <w:sz w:val="32"/>
          <w:szCs w:val="32"/>
        </w:rPr>
        <w:t>食材采购价格必须包含市场调查、食品采购、包装、运输、装卸、搬运、不合格食品的退换、所有工作人员的工勤费用、合理利润以及《服务合同》实施过程中的可预见及不可预见费用。</w:t>
      </w:r>
    </w:p>
    <w:p w14:paraId="1AD1849B">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9.负责食堂留样工作；</w:t>
      </w:r>
    </w:p>
    <w:p w14:paraId="2AAC8DFA">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10.负责维护就餐场所的现场秩序及人员引导；</w:t>
      </w:r>
    </w:p>
    <w:p w14:paraId="363E71C4">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11.负责食堂的清洁卫生，包括但不限于对食堂的工具、餐具、餐台（椅）、设备、设施的清洁和消毒；</w:t>
      </w:r>
    </w:p>
    <w:p w14:paraId="00051D40">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12.负责餐具回收、餐厨垃圾和其他垃圾处理、清运；</w:t>
      </w:r>
    </w:p>
    <w:p w14:paraId="1E28D639">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13.负责派遣餐饮服务从业人员的招聘、体检、培训、劳务关系等工作；</w:t>
      </w:r>
    </w:p>
    <w:p w14:paraId="237BC7B1">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14.负责食堂一体化管理系统管理、数据录入、数据统计分析等服务。</w:t>
      </w:r>
    </w:p>
    <w:p w14:paraId="140316B4">
      <w:pPr>
        <w:widowControl/>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（二）服务要求</w:t>
      </w:r>
    </w:p>
    <w:p w14:paraId="1E42D502">
      <w:pPr>
        <w:pStyle w:val="18"/>
        <w:numPr>
          <w:ilvl w:val="0"/>
          <w:numId w:val="7"/>
        </w:numPr>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lang w:eastAsia="zh-CN"/>
        </w:rPr>
        <w:t>中标供应商</w:t>
      </w:r>
      <w:r>
        <w:rPr>
          <w:rFonts w:hint="eastAsia" w:ascii="仿宋" w:hAnsi="仿宋" w:eastAsia="仿宋" w:cs="仿宋"/>
          <w:sz w:val="32"/>
          <w:szCs w:val="32"/>
        </w:rPr>
        <w:t>管理食堂服务期间，负责员工工资（含加班费）、社保等福利费用及员工工作装备（如：工作服，工鞋，围裙，手套等劳保用品）及住宿等费用。食堂的营业执照，卫生许可证以及工作人员的健康证等相关证件由</w:t>
      </w:r>
      <w:r>
        <w:rPr>
          <w:rFonts w:hint="eastAsia" w:ascii="仿宋" w:hAnsi="仿宋" w:eastAsia="仿宋" w:cs="仿宋"/>
          <w:sz w:val="32"/>
          <w:szCs w:val="32"/>
          <w:lang w:eastAsia="zh-CN"/>
        </w:rPr>
        <w:t>中标供应商</w:t>
      </w:r>
      <w:r>
        <w:rPr>
          <w:rFonts w:hint="eastAsia" w:ascii="仿宋" w:hAnsi="仿宋" w:eastAsia="仿宋" w:cs="仿宋"/>
          <w:sz w:val="32"/>
          <w:szCs w:val="32"/>
        </w:rPr>
        <w:t>负责办理并承担相关费用。</w:t>
      </w:r>
    </w:p>
    <w:p w14:paraId="23DB3B8E">
      <w:pPr>
        <w:pStyle w:val="18"/>
        <w:numPr>
          <w:ilvl w:val="0"/>
          <w:numId w:val="7"/>
        </w:numPr>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lang w:eastAsia="zh-CN"/>
        </w:rPr>
        <w:t>中标供应商</w:t>
      </w:r>
      <w:r>
        <w:rPr>
          <w:rFonts w:hint="eastAsia" w:ascii="仿宋" w:hAnsi="仿宋" w:eastAsia="仿宋" w:cs="仿宋"/>
          <w:sz w:val="32"/>
          <w:szCs w:val="32"/>
        </w:rPr>
        <w:t>须负责食堂管理区域的治安保卫、安全防火、防盗等工作，保证管理区域内所有设施、工具物品及不动产的安全完好，合同期满或解约，双方有关人员共同检查交接场地的设施和采购人供</w:t>
      </w:r>
      <w:r>
        <w:rPr>
          <w:rFonts w:hint="eastAsia" w:ascii="仿宋" w:hAnsi="仿宋" w:eastAsia="仿宋" w:cs="仿宋"/>
          <w:sz w:val="32"/>
          <w:szCs w:val="32"/>
          <w:lang w:eastAsia="zh-CN"/>
        </w:rPr>
        <w:t>中标供应商</w:t>
      </w:r>
      <w:r>
        <w:rPr>
          <w:rFonts w:hint="eastAsia" w:ascii="仿宋" w:hAnsi="仿宋" w:eastAsia="仿宋" w:cs="仿宋"/>
          <w:sz w:val="32"/>
          <w:szCs w:val="32"/>
        </w:rPr>
        <w:t>使用的物品，</w:t>
      </w:r>
      <w:r>
        <w:rPr>
          <w:rFonts w:hint="eastAsia" w:ascii="仿宋" w:hAnsi="仿宋" w:eastAsia="仿宋" w:cs="仿宋"/>
          <w:sz w:val="32"/>
          <w:szCs w:val="32"/>
          <w:lang w:eastAsia="zh-CN"/>
        </w:rPr>
        <w:t>中标供应商</w:t>
      </w:r>
      <w:r>
        <w:rPr>
          <w:rFonts w:hint="eastAsia" w:ascii="仿宋" w:hAnsi="仿宋" w:eastAsia="仿宋" w:cs="仿宋"/>
          <w:sz w:val="32"/>
          <w:szCs w:val="32"/>
        </w:rPr>
        <w:t>应将所有设备完整无缺归还采购人，如发现损毁、遗失，由</w:t>
      </w:r>
      <w:r>
        <w:rPr>
          <w:rFonts w:hint="eastAsia" w:ascii="仿宋" w:hAnsi="仿宋" w:eastAsia="仿宋" w:cs="仿宋"/>
          <w:sz w:val="32"/>
          <w:szCs w:val="32"/>
          <w:lang w:eastAsia="zh-CN"/>
        </w:rPr>
        <w:t>中标供应商</w:t>
      </w:r>
      <w:r>
        <w:rPr>
          <w:rFonts w:hint="eastAsia" w:ascii="仿宋" w:hAnsi="仿宋" w:eastAsia="仿宋" w:cs="仿宋"/>
          <w:sz w:val="32"/>
          <w:szCs w:val="32"/>
        </w:rPr>
        <w:t>负责照价赔偿。</w:t>
      </w:r>
    </w:p>
    <w:p w14:paraId="0A0E674B">
      <w:pPr>
        <w:pStyle w:val="18"/>
        <w:numPr>
          <w:ilvl w:val="0"/>
          <w:numId w:val="7"/>
        </w:numPr>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lang w:eastAsia="zh-CN"/>
        </w:rPr>
        <w:t>中标供应商</w:t>
      </w:r>
      <w:r>
        <w:rPr>
          <w:rFonts w:hint="eastAsia" w:ascii="仿宋" w:hAnsi="仿宋" w:eastAsia="仿宋" w:cs="仿宋"/>
          <w:sz w:val="32"/>
          <w:szCs w:val="32"/>
        </w:rPr>
        <w:t>应根据用餐单位的就餐需求，保证派遣足够专业工作人员（包含但不限于厨师、服务员、清洁工）。食堂工作人员由</w:t>
      </w:r>
      <w:r>
        <w:rPr>
          <w:rFonts w:hint="eastAsia" w:ascii="仿宋" w:hAnsi="仿宋" w:eastAsia="仿宋" w:cs="仿宋"/>
          <w:sz w:val="32"/>
          <w:szCs w:val="32"/>
          <w:lang w:eastAsia="zh-CN"/>
        </w:rPr>
        <w:t>中标供应商</w:t>
      </w:r>
      <w:r>
        <w:rPr>
          <w:rFonts w:hint="eastAsia" w:ascii="仿宋" w:hAnsi="仿宋" w:eastAsia="仿宋" w:cs="仿宋"/>
          <w:sz w:val="32"/>
          <w:szCs w:val="32"/>
        </w:rPr>
        <w:t>招聘、签约，</w:t>
      </w:r>
      <w:r>
        <w:rPr>
          <w:rFonts w:hint="eastAsia" w:ascii="仿宋" w:hAnsi="仿宋" w:eastAsia="仿宋" w:cs="仿宋"/>
          <w:sz w:val="32"/>
          <w:szCs w:val="32"/>
          <w:lang w:eastAsia="zh-CN"/>
        </w:rPr>
        <w:t>中标供应商</w:t>
      </w:r>
      <w:r>
        <w:rPr>
          <w:rFonts w:hint="eastAsia" w:ascii="仿宋" w:hAnsi="仿宋" w:eastAsia="仿宋" w:cs="仿宋"/>
          <w:sz w:val="32"/>
          <w:szCs w:val="32"/>
        </w:rPr>
        <w:t>必须保证配备足够的工作人员，统一着装。工作人员必须身体健康、无传染病、无精神病和犯罪记录，有暂住证并持有防疫部门核发</w:t>
      </w:r>
      <w:r>
        <w:rPr>
          <w:rFonts w:hint="eastAsia" w:ascii="仿宋" w:hAnsi="仿宋" w:eastAsia="仿宋" w:cs="仿宋"/>
          <w:sz w:val="32"/>
          <w:szCs w:val="32"/>
          <w:lang w:val="en-US" w:eastAsia="zh-CN"/>
        </w:rPr>
        <w:t>有效</w:t>
      </w:r>
      <w:r>
        <w:rPr>
          <w:rFonts w:hint="eastAsia" w:ascii="仿宋" w:hAnsi="仿宋" w:eastAsia="仿宋" w:cs="仿宋"/>
          <w:sz w:val="32"/>
          <w:szCs w:val="32"/>
        </w:rPr>
        <w:t>的从业健康证。</w:t>
      </w:r>
      <w:r>
        <w:rPr>
          <w:rFonts w:hint="eastAsia" w:ascii="仿宋" w:hAnsi="仿宋" w:eastAsia="仿宋" w:cs="仿宋"/>
          <w:sz w:val="32"/>
          <w:szCs w:val="32"/>
          <w:lang w:eastAsia="zh-CN"/>
        </w:rPr>
        <w:t>中标供应商</w:t>
      </w:r>
      <w:r>
        <w:rPr>
          <w:rFonts w:hint="eastAsia" w:ascii="仿宋" w:hAnsi="仿宋" w:eastAsia="仿宋" w:cs="仿宋"/>
          <w:sz w:val="32"/>
          <w:szCs w:val="32"/>
        </w:rPr>
        <w:t>必须将工作人员的个人身份证及相关证件复印件、个人档案等向采购人备案。</w:t>
      </w:r>
      <w:r>
        <w:rPr>
          <w:rFonts w:hint="eastAsia" w:ascii="仿宋" w:hAnsi="仿宋" w:eastAsia="仿宋" w:cs="仿宋"/>
          <w:sz w:val="32"/>
          <w:szCs w:val="32"/>
          <w:lang w:eastAsia="zh-CN"/>
        </w:rPr>
        <w:t>中标供应商</w:t>
      </w:r>
      <w:r>
        <w:rPr>
          <w:rFonts w:hint="eastAsia" w:ascii="仿宋" w:hAnsi="仿宋" w:eastAsia="仿宋" w:cs="仿宋"/>
          <w:sz w:val="32"/>
          <w:szCs w:val="32"/>
        </w:rPr>
        <w:t>须按照《劳动法》规定使用人员，依法参加社保，负责支付工作人员的工资、社保费等费用，合同履行期间所发生的劳动纠纷、法律和经济责任由</w:t>
      </w:r>
      <w:r>
        <w:rPr>
          <w:rFonts w:hint="eastAsia" w:ascii="仿宋" w:hAnsi="仿宋" w:eastAsia="仿宋" w:cs="仿宋"/>
          <w:sz w:val="32"/>
          <w:szCs w:val="32"/>
          <w:lang w:eastAsia="zh-CN"/>
        </w:rPr>
        <w:t>中标供应商</w:t>
      </w:r>
      <w:r>
        <w:rPr>
          <w:rFonts w:hint="eastAsia" w:ascii="仿宋" w:hAnsi="仿宋" w:eastAsia="仿宋" w:cs="仿宋"/>
          <w:sz w:val="32"/>
          <w:szCs w:val="32"/>
        </w:rPr>
        <w:t>承担。</w:t>
      </w:r>
    </w:p>
    <w:p w14:paraId="400BE955">
      <w:pPr>
        <w:pStyle w:val="18"/>
        <w:numPr>
          <w:ilvl w:val="0"/>
          <w:numId w:val="7"/>
        </w:numPr>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食堂工作人员在工作过程中的安全责任由</w:t>
      </w:r>
      <w:r>
        <w:rPr>
          <w:rFonts w:hint="eastAsia" w:ascii="仿宋" w:hAnsi="仿宋" w:eastAsia="仿宋" w:cs="仿宋"/>
          <w:sz w:val="32"/>
          <w:szCs w:val="32"/>
          <w:lang w:eastAsia="zh-CN"/>
        </w:rPr>
        <w:t>中标供应商</w:t>
      </w:r>
      <w:r>
        <w:rPr>
          <w:rFonts w:hint="eastAsia" w:ascii="仿宋" w:hAnsi="仿宋" w:eastAsia="仿宋" w:cs="仿宋"/>
          <w:sz w:val="32"/>
          <w:szCs w:val="32"/>
        </w:rPr>
        <w:t>负责。</w:t>
      </w:r>
      <w:r>
        <w:rPr>
          <w:rFonts w:hint="eastAsia" w:ascii="仿宋" w:hAnsi="仿宋" w:eastAsia="仿宋" w:cs="仿宋"/>
          <w:sz w:val="32"/>
          <w:szCs w:val="32"/>
          <w:lang w:eastAsia="zh-CN"/>
        </w:rPr>
        <w:t>中标供应商</w:t>
      </w:r>
      <w:r>
        <w:rPr>
          <w:rFonts w:hint="eastAsia" w:ascii="仿宋" w:hAnsi="仿宋" w:eastAsia="仿宋" w:cs="仿宋"/>
          <w:sz w:val="32"/>
          <w:szCs w:val="32"/>
        </w:rPr>
        <w:t>安排专人负责食堂设备设施使用，如用电、用水等不注意安全引起生产事故，或发生意外伤亡事故，</w:t>
      </w:r>
      <w:r>
        <w:rPr>
          <w:rFonts w:hint="eastAsia" w:ascii="仿宋" w:hAnsi="仿宋" w:eastAsia="仿宋" w:cs="仿宋"/>
          <w:sz w:val="32"/>
          <w:szCs w:val="32"/>
          <w:lang w:eastAsia="zh-CN"/>
        </w:rPr>
        <w:t>中标供应商</w:t>
      </w:r>
      <w:r>
        <w:rPr>
          <w:rFonts w:hint="eastAsia" w:ascii="仿宋" w:hAnsi="仿宋" w:eastAsia="仿宋" w:cs="仿宋"/>
          <w:sz w:val="32"/>
          <w:szCs w:val="32"/>
        </w:rPr>
        <w:t>必须全部责任和必要的经济补偿，与采购人无关。</w:t>
      </w:r>
    </w:p>
    <w:p w14:paraId="4804B83B">
      <w:pPr>
        <w:pStyle w:val="18"/>
        <w:numPr>
          <w:ilvl w:val="0"/>
          <w:numId w:val="7"/>
        </w:numPr>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lang w:eastAsia="zh-CN"/>
        </w:rPr>
        <w:t>中标供应商</w:t>
      </w:r>
      <w:r>
        <w:rPr>
          <w:rFonts w:hint="eastAsia" w:ascii="仿宋" w:hAnsi="仿宋" w:eastAsia="仿宋" w:cs="仿宋"/>
          <w:sz w:val="32"/>
          <w:szCs w:val="32"/>
        </w:rPr>
        <w:t>安排专人负责就餐区现场的秩序维护和人员引导，并对分餐技能、服务态度等供应环节进行巡检。</w:t>
      </w:r>
    </w:p>
    <w:p w14:paraId="5A7D8835">
      <w:pPr>
        <w:pStyle w:val="18"/>
        <w:numPr>
          <w:ilvl w:val="0"/>
          <w:numId w:val="7"/>
        </w:numPr>
        <w:spacing w:before="0" w:beforeAutospacing="0" w:after="0" w:afterAutospacing="0" w:line="560" w:lineRule="exact"/>
        <w:ind w:firstLine="648" w:firstLineChars="200"/>
        <w:jc w:val="both"/>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中标供应商</w:t>
      </w:r>
      <w:r>
        <w:rPr>
          <w:rFonts w:hint="eastAsia" w:ascii="仿宋" w:hAnsi="仿宋" w:eastAsia="仿宋" w:cs="仿宋"/>
          <w:sz w:val="32"/>
          <w:szCs w:val="32"/>
          <w:highlight w:val="none"/>
        </w:rPr>
        <w:t>必须严格执行食材验收管理制度，指定专人负责食材验收工作，包括但不限于审验食材供货商的经营资格，验明产品合格证明和产品标识、生产厂家、生产日期、保质期等信息。若发现产品有质量问题，应当立即联系食材供应商进行退换货处理，做好退换货处理登记及后续处理情况追踪。</w:t>
      </w:r>
    </w:p>
    <w:p w14:paraId="2AB7F92A">
      <w:pPr>
        <w:pStyle w:val="18"/>
        <w:numPr>
          <w:ilvl w:val="0"/>
          <w:numId w:val="7"/>
        </w:numPr>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lang w:eastAsia="zh-CN"/>
        </w:rPr>
        <w:t>中标供应商</w:t>
      </w:r>
      <w:r>
        <w:rPr>
          <w:rFonts w:hint="eastAsia" w:ascii="仿宋" w:hAnsi="仿宋" w:eastAsia="仿宋" w:cs="仿宋"/>
          <w:sz w:val="32"/>
          <w:szCs w:val="32"/>
        </w:rPr>
        <w:t>必须严格执行留样工作，每日供餐食品按卫生防疫的规定留样48小时以上，每样食物留样量为125克，并安排专人负责、专人操作、专人记录。如发生食物中毒等事故，</w:t>
      </w:r>
      <w:r>
        <w:rPr>
          <w:rFonts w:hint="eastAsia" w:ascii="仿宋" w:hAnsi="仿宋" w:eastAsia="仿宋" w:cs="仿宋"/>
          <w:sz w:val="32"/>
          <w:szCs w:val="32"/>
          <w:lang w:eastAsia="zh-CN"/>
        </w:rPr>
        <w:t>中标供应商</w:t>
      </w:r>
      <w:r>
        <w:rPr>
          <w:rFonts w:hint="eastAsia" w:ascii="仿宋" w:hAnsi="仿宋" w:eastAsia="仿宋" w:cs="仿宋"/>
          <w:sz w:val="32"/>
          <w:szCs w:val="32"/>
        </w:rPr>
        <w:t>应积极配合事故的调查和人员的救治。如确定是</w:t>
      </w:r>
      <w:r>
        <w:rPr>
          <w:rFonts w:hint="eastAsia" w:ascii="仿宋" w:hAnsi="仿宋" w:eastAsia="仿宋" w:cs="仿宋"/>
          <w:sz w:val="32"/>
          <w:szCs w:val="32"/>
          <w:lang w:eastAsia="zh-CN"/>
        </w:rPr>
        <w:t>中标供应商</w:t>
      </w:r>
      <w:r>
        <w:rPr>
          <w:rFonts w:hint="eastAsia" w:ascii="仿宋" w:hAnsi="仿宋" w:eastAsia="仿宋" w:cs="仿宋"/>
          <w:sz w:val="32"/>
          <w:szCs w:val="32"/>
        </w:rPr>
        <w:t>的原因造成事故，采购人有权提前单方解除本协议，</w:t>
      </w:r>
      <w:r>
        <w:rPr>
          <w:rFonts w:hint="eastAsia" w:ascii="仿宋" w:hAnsi="仿宋" w:eastAsia="仿宋" w:cs="仿宋"/>
          <w:sz w:val="32"/>
          <w:szCs w:val="32"/>
          <w:lang w:eastAsia="zh-CN"/>
        </w:rPr>
        <w:t>中标供应商</w:t>
      </w:r>
      <w:r>
        <w:rPr>
          <w:rFonts w:hint="eastAsia" w:ascii="仿宋" w:hAnsi="仿宋" w:eastAsia="仿宋" w:cs="仿宋"/>
          <w:sz w:val="32"/>
          <w:szCs w:val="32"/>
        </w:rPr>
        <w:t>应当向采购人赔偿由此给而采购人造成的所有经济损失（包括但不限于罚款、赔偿用餐人员经济损失、律师费、诉讼费）及承担一切相关责任（包括但不限于行政、刑事、民事法律责任）。</w:t>
      </w:r>
    </w:p>
    <w:p w14:paraId="2FA21D54">
      <w:pPr>
        <w:pStyle w:val="18"/>
        <w:numPr>
          <w:ilvl w:val="0"/>
          <w:numId w:val="7"/>
        </w:numPr>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lang w:eastAsia="zh-CN"/>
        </w:rPr>
        <w:t>中标供应商</w:t>
      </w:r>
      <w:r>
        <w:rPr>
          <w:rFonts w:hint="eastAsia" w:ascii="仿宋" w:hAnsi="仿宋" w:eastAsia="仿宋" w:cs="仿宋"/>
          <w:sz w:val="32"/>
          <w:szCs w:val="32"/>
        </w:rPr>
        <w:t>负责对使用场地的下水道、污物及场地的清理，费用由</w:t>
      </w:r>
      <w:r>
        <w:rPr>
          <w:rFonts w:hint="eastAsia" w:ascii="仿宋" w:hAnsi="仿宋" w:eastAsia="仿宋" w:cs="仿宋"/>
          <w:sz w:val="32"/>
          <w:szCs w:val="32"/>
          <w:lang w:eastAsia="zh-CN"/>
        </w:rPr>
        <w:t>中标供应商</w:t>
      </w:r>
      <w:r>
        <w:rPr>
          <w:rFonts w:hint="eastAsia" w:ascii="仿宋" w:hAnsi="仿宋" w:eastAsia="仿宋" w:cs="仿宋"/>
          <w:sz w:val="32"/>
          <w:szCs w:val="32"/>
        </w:rPr>
        <w:t>自理。</w:t>
      </w:r>
      <w:r>
        <w:rPr>
          <w:rFonts w:hint="eastAsia" w:ascii="仿宋" w:hAnsi="仿宋" w:eastAsia="仿宋" w:cs="仿宋"/>
          <w:sz w:val="32"/>
          <w:szCs w:val="32"/>
          <w:lang w:eastAsia="zh-CN"/>
        </w:rPr>
        <w:t>中标供应商</w:t>
      </w:r>
      <w:r>
        <w:rPr>
          <w:rFonts w:hint="eastAsia" w:ascii="仿宋" w:hAnsi="仿宋" w:eastAsia="仿宋" w:cs="仿宋"/>
          <w:sz w:val="32"/>
          <w:szCs w:val="32"/>
        </w:rPr>
        <w:t>不得在场地贮存危险违禁物品，做到安全用气、用电等。</w:t>
      </w:r>
    </w:p>
    <w:p w14:paraId="5EEC6409">
      <w:pPr>
        <w:pStyle w:val="18"/>
        <w:numPr>
          <w:ilvl w:val="0"/>
          <w:numId w:val="7"/>
        </w:numPr>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lang w:eastAsia="zh-CN"/>
        </w:rPr>
        <w:t>中标供应商</w:t>
      </w:r>
      <w:r>
        <w:rPr>
          <w:rFonts w:hint="eastAsia" w:ascii="仿宋" w:hAnsi="仿宋" w:eastAsia="仿宋" w:cs="仿宋"/>
          <w:sz w:val="32"/>
          <w:szCs w:val="32"/>
        </w:rPr>
        <w:t>必须严格执行国家有关用电、用气、消防、卫生、环保、治安等法律、法规，配合采购人接受有关部门的检查，制订相关管理制度和措施，加强管理，并根据实际情况，及时配套更换有关器材，做到安全服务。合同期内，</w:t>
      </w:r>
      <w:r>
        <w:rPr>
          <w:rFonts w:hint="eastAsia" w:ascii="仿宋" w:hAnsi="仿宋" w:eastAsia="仿宋" w:cs="仿宋"/>
          <w:sz w:val="32"/>
          <w:szCs w:val="32"/>
          <w:lang w:eastAsia="zh-CN"/>
        </w:rPr>
        <w:t>中标供应商</w:t>
      </w:r>
      <w:r>
        <w:rPr>
          <w:rFonts w:hint="eastAsia" w:ascii="仿宋" w:hAnsi="仿宋" w:eastAsia="仿宋" w:cs="仿宋"/>
          <w:sz w:val="32"/>
          <w:szCs w:val="32"/>
        </w:rPr>
        <w:t>在使用场地内发生一切事故，所有责任由</w:t>
      </w:r>
      <w:r>
        <w:rPr>
          <w:rFonts w:hint="eastAsia" w:ascii="仿宋" w:hAnsi="仿宋" w:eastAsia="仿宋" w:cs="仿宋"/>
          <w:sz w:val="32"/>
          <w:szCs w:val="32"/>
          <w:lang w:eastAsia="zh-CN"/>
        </w:rPr>
        <w:t>中标供应商</w:t>
      </w:r>
      <w:r>
        <w:rPr>
          <w:rFonts w:hint="eastAsia" w:ascii="仿宋" w:hAnsi="仿宋" w:eastAsia="仿宋" w:cs="仿宋"/>
          <w:sz w:val="32"/>
          <w:szCs w:val="32"/>
        </w:rPr>
        <w:t>自行承担后果。</w:t>
      </w:r>
      <w:r>
        <w:rPr>
          <w:rFonts w:hint="eastAsia" w:ascii="仿宋" w:hAnsi="仿宋" w:eastAsia="仿宋" w:cs="仿宋"/>
          <w:sz w:val="32"/>
          <w:szCs w:val="32"/>
          <w:lang w:eastAsia="zh-CN"/>
        </w:rPr>
        <w:t>中标供应商</w:t>
      </w:r>
      <w:r>
        <w:rPr>
          <w:rFonts w:hint="eastAsia" w:ascii="仿宋" w:hAnsi="仿宋" w:eastAsia="仿宋" w:cs="仿宋"/>
          <w:sz w:val="32"/>
          <w:szCs w:val="32"/>
        </w:rPr>
        <w:t>在服务期间，因人为或其他因素引发的事故及所造成的人员伤亡、财产损失等，其经济责任、法律责任全部由</w:t>
      </w:r>
      <w:r>
        <w:rPr>
          <w:rFonts w:hint="eastAsia" w:ascii="仿宋" w:hAnsi="仿宋" w:eastAsia="仿宋" w:cs="仿宋"/>
          <w:sz w:val="32"/>
          <w:szCs w:val="32"/>
          <w:lang w:eastAsia="zh-CN"/>
        </w:rPr>
        <w:t>中标供应商</w:t>
      </w:r>
      <w:r>
        <w:rPr>
          <w:rFonts w:hint="eastAsia" w:ascii="仿宋" w:hAnsi="仿宋" w:eastAsia="仿宋" w:cs="仿宋"/>
          <w:sz w:val="32"/>
          <w:szCs w:val="32"/>
        </w:rPr>
        <w:t>承担。</w:t>
      </w:r>
    </w:p>
    <w:p w14:paraId="65CD1100">
      <w:pPr>
        <w:pStyle w:val="18"/>
        <w:numPr>
          <w:ilvl w:val="0"/>
          <w:numId w:val="7"/>
        </w:numPr>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lang w:eastAsia="zh-CN"/>
        </w:rPr>
        <w:t>中标供应商</w:t>
      </w:r>
      <w:r>
        <w:rPr>
          <w:rFonts w:hint="eastAsia" w:ascii="仿宋" w:hAnsi="仿宋" w:eastAsia="仿宋" w:cs="仿宋"/>
          <w:sz w:val="32"/>
          <w:szCs w:val="32"/>
        </w:rPr>
        <w:t>必须健全各项管理制度，严格执行《食品安全法》、《食品安全法实施条例》、《餐饮服务许可管理办法》等所有与食品卫生相关的法律法规，确保食品卫生安全，如在</w:t>
      </w:r>
      <w:r>
        <w:rPr>
          <w:rFonts w:hint="eastAsia" w:ascii="仿宋" w:hAnsi="仿宋" w:eastAsia="仿宋" w:cs="仿宋"/>
          <w:sz w:val="32"/>
          <w:szCs w:val="32"/>
          <w:lang w:eastAsia="zh-CN"/>
        </w:rPr>
        <w:t>中标供应商</w:t>
      </w:r>
      <w:r>
        <w:rPr>
          <w:rFonts w:hint="eastAsia" w:ascii="仿宋" w:hAnsi="仿宋" w:eastAsia="仿宋" w:cs="仿宋"/>
          <w:sz w:val="32"/>
          <w:szCs w:val="32"/>
        </w:rPr>
        <w:t>服务期内发生食物中毒等重大责任事故，损害就餐人员身体健康，采购人有权无条件终止合同，</w:t>
      </w:r>
      <w:r>
        <w:rPr>
          <w:rFonts w:hint="eastAsia" w:ascii="仿宋" w:hAnsi="仿宋" w:eastAsia="仿宋" w:cs="仿宋"/>
          <w:sz w:val="32"/>
          <w:szCs w:val="32"/>
          <w:lang w:eastAsia="zh-CN"/>
        </w:rPr>
        <w:t>中标供应商</w:t>
      </w:r>
      <w:r>
        <w:rPr>
          <w:rFonts w:hint="eastAsia" w:ascii="仿宋" w:hAnsi="仿宋" w:eastAsia="仿宋" w:cs="仿宋"/>
          <w:sz w:val="32"/>
          <w:szCs w:val="32"/>
        </w:rPr>
        <w:t>必须承担由此造成的一切责任和经济损失。</w:t>
      </w:r>
    </w:p>
    <w:p w14:paraId="181BF9BB">
      <w:pPr>
        <w:pStyle w:val="18"/>
        <w:numPr>
          <w:ilvl w:val="0"/>
          <w:numId w:val="7"/>
        </w:numPr>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lang w:eastAsia="zh-CN"/>
        </w:rPr>
        <w:t>中标供应商</w:t>
      </w:r>
      <w:r>
        <w:rPr>
          <w:rFonts w:hint="eastAsia" w:ascii="仿宋" w:hAnsi="仿宋" w:eastAsia="仿宋" w:cs="仿宋"/>
          <w:sz w:val="32"/>
          <w:szCs w:val="32"/>
        </w:rPr>
        <w:t>不得以任何名义及方式，擅自变更食堂的经营范围和业务，如有违反，采购人有权立即终止与</w:t>
      </w:r>
      <w:r>
        <w:rPr>
          <w:rFonts w:hint="eastAsia" w:ascii="仿宋" w:hAnsi="仿宋" w:eastAsia="仿宋" w:cs="仿宋"/>
          <w:sz w:val="32"/>
          <w:szCs w:val="32"/>
          <w:lang w:eastAsia="zh-CN"/>
        </w:rPr>
        <w:t>中标供应商</w:t>
      </w:r>
      <w:r>
        <w:rPr>
          <w:rFonts w:hint="eastAsia" w:ascii="仿宋" w:hAnsi="仿宋" w:eastAsia="仿宋" w:cs="仿宋"/>
          <w:sz w:val="32"/>
          <w:szCs w:val="32"/>
        </w:rPr>
        <w:t>之合同。</w:t>
      </w:r>
    </w:p>
    <w:p w14:paraId="20E073F5">
      <w:pPr>
        <w:pStyle w:val="18"/>
        <w:numPr>
          <w:ilvl w:val="0"/>
          <w:numId w:val="7"/>
        </w:numPr>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在协议有效期限内，</w:t>
      </w:r>
      <w:r>
        <w:rPr>
          <w:rFonts w:hint="eastAsia" w:ascii="仿宋" w:hAnsi="仿宋" w:eastAsia="仿宋" w:cs="仿宋"/>
          <w:sz w:val="32"/>
          <w:szCs w:val="32"/>
          <w:lang w:eastAsia="zh-CN"/>
        </w:rPr>
        <w:t>中标供应商</w:t>
      </w:r>
      <w:r>
        <w:rPr>
          <w:rFonts w:hint="eastAsia" w:ascii="仿宋" w:hAnsi="仿宋" w:eastAsia="仿宋" w:cs="仿宋"/>
          <w:sz w:val="32"/>
          <w:szCs w:val="32"/>
        </w:rPr>
        <w:t>不得以任何名义及方式降低饭菜及服务质量。如有违反，采购人有权立即终止与</w:t>
      </w:r>
      <w:r>
        <w:rPr>
          <w:rFonts w:hint="eastAsia" w:ascii="仿宋" w:hAnsi="仿宋" w:eastAsia="仿宋" w:cs="仿宋"/>
          <w:sz w:val="32"/>
          <w:szCs w:val="32"/>
          <w:lang w:eastAsia="zh-CN"/>
        </w:rPr>
        <w:t>中标供应商</w:t>
      </w:r>
      <w:r>
        <w:rPr>
          <w:rFonts w:hint="eastAsia" w:ascii="仿宋" w:hAnsi="仿宋" w:eastAsia="仿宋" w:cs="仿宋"/>
          <w:sz w:val="32"/>
          <w:szCs w:val="32"/>
        </w:rPr>
        <w:t>之合同。</w:t>
      </w:r>
    </w:p>
    <w:p w14:paraId="49F35D13">
      <w:pPr>
        <w:pStyle w:val="18"/>
        <w:numPr>
          <w:ilvl w:val="0"/>
          <w:numId w:val="7"/>
        </w:numPr>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 xml:space="preserve">供餐时间：早餐7:30-8:30，午餐12:00-13:00，甲方可根据需要，向乙方提出变更就餐时间，乙方应积极配合；乙方须按照甲方要求时间准时开餐，如乙方不按照甲方要求的时间准时开餐则属于乙方违约，乙方应当承担包括但不限于赔偿因误餐给甲方带来的损失的违约责任。遇特殊情况(如停水、停电等)双方另行协商调整就餐时间。 </w:t>
      </w:r>
    </w:p>
    <w:p w14:paraId="61335B58">
      <w:pPr>
        <w:pStyle w:val="18"/>
        <w:numPr>
          <w:ilvl w:val="0"/>
          <w:numId w:val="7"/>
        </w:numPr>
        <w:spacing w:before="0" w:beforeAutospacing="0" w:after="0" w:afterAutospacing="0" w:line="560" w:lineRule="exact"/>
        <w:ind w:firstLine="648" w:firstLineChars="200"/>
        <w:jc w:val="both"/>
        <w:rPr>
          <w:rFonts w:ascii="仿宋" w:hAnsi="仿宋" w:eastAsia="仿宋" w:cs="仿宋"/>
          <w:b/>
          <w:bCs/>
          <w:sz w:val="32"/>
          <w:szCs w:val="32"/>
        </w:rPr>
      </w:pPr>
      <w:r>
        <w:rPr>
          <w:rFonts w:hint="eastAsia" w:ascii="仿宋" w:hAnsi="仿宋" w:eastAsia="仿宋" w:cs="仿宋"/>
          <w:sz w:val="32"/>
          <w:szCs w:val="32"/>
          <w:highlight w:val="none"/>
        </w:rPr>
        <w:t>费用标准（含经营管理成本与食材成本）：一天两餐合计34.00元（早餐6.00元、午餐28.00元）。膳食供餐标准：早餐提供各式炒粉、汤粉、汤面类、油炸食品、鸡蛋、白粥、肉粥等品种供选。正餐提供1主荤+1配荤素+1青菜+例汤+水果及米饭，保证每餐有多种肉类、炒菜等品种供选。</w:t>
      </w:r>
      <w:r>
        <w:rPr>
          <w:rFonts w:hint="eastAsia" w:ascii="仿宋" w:hAnsi="仿宋" w:eastAsia="仿宋" w:cs="仿宋"/>
          <w:sz w:val="32"/>
          <w:szCs w:val="32"/>
        </w:rPr>
        <w:t>具体餐标以采购人审核的食谱为准，其他要求根据实际情况调整。</w:t>
      </w:r>
    </w:p>
    <w:p w14:paraId="789A21F7">
      <w:pPr>
        <w:widowControl/>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（三）饭堂管理制度要求</w:t>
      </w:r>
    </w:p>
    <w:p w14:paraId="7DD22769">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1.饭堂工作人员必须不断钻研烹调技术，提高业务水平。根据不同的口味，市场行情的变化，配制出色、香、味俱全且营养丰富的饭菜。</w:t>
      </w:r>
    </w:p>
    <w:p w14:paraId="754A9B98">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中标供应商</w:t>
      </w:r>
      <w:r>
        <w:rPr>
          <w:rFonts w:hint="eastAsia" w:ascii="仿宋" w:hAnsi="仿宋" w:eastAsia="仿宋" w:cs="仿宋"/>
          <w:sz w:val="32"/>
          <w:szCs w:val="32"/>
        </w:rPr>
        <w:t>不能提供变质、变味以及剩饭菜，必须把好食材质量关，在进行食材验收时，若发现劣质食品必须退回或销毁。</w:t>
      </w:r>
    </w:p>
    <w:p w14:paraId="781C7729">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3.按要求使用消毒设备为器具消毒，必须搞好饭堂内外卫生，遵守“卫生法”，实行食品卫生“五四制”。</w:t>
      </w:r>
    </w:p>
    <w:p w14:paraId="26026DE8">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4.仓库、工作间条理化，米面分仓，堆放整齐，存放方便。</w:t>
      </w:r>
    </w:p>
    <w:p w14:paraId="7176F0E4">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5.“三做到”：木具木色，铁器发亮，机器用完要洗净。“四防”防蝇、防鼠、防腐、防尘。“五无”：灶台、案台、洗菜池、地面、无油垢、无血迹、无污水、无杂物、无菜根垃圾。</w:t>
      </w:r>
    </w:p>
    <w:p w14:paraId="0644D82D">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6.保洁做到经常化，每天早餐、午餐、晚餐后打扫卫生。每周一次全面大检查。定人定物定包干负责，收班前将卫生搞好，定期检查评比。</w:t>
      </w:r>
    </w:p>
    <w:p w14:paraId="59467FD6">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7.执行食品卫生“五四”制度：由原料到成品，实行“四不”：不买腐烂变质的原料；不验收腐烂变质的原料；不用收腐烂变质的原料；不卖腐烂变质的食品。</w:t>
      </w:r>
    </w:p>
    <w:p w14:paraId="65F6725C">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8.食品存放：“四隔离”；生与熟隔离；食物与半成品隔离；半成品与杂物、药物隔离；食品与天然水隔离。</w:t>
      </w:r>
    </w:p>
    <w:p w14:paraId="7AAA179B">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9.食具“四过关”；一洗、二刷、三冲、四消毒。</w:t>
      </w:r>
    </w:p>
    <w:p w14:paraId="4C3BE3A8">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10.环境卫生“四定”：定人、定物、定时间、定质量、分片包干负责。</w:t>
      </w:r>
    </w:p>
    <w:p w14:paraId="2837F10E">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11.个人卫生“四勤”：勤洗手剪指甲、勤洗澡理发、勤洗衣服、勤换工作服。</w:t>
      </w:r>
    </w:p>
    <w:p w14:paraId="4D352571">
      <w:pPr>
        <w:pStyle w:val="18"/>
        <w:spacing w:before="0" w:beforeAutospacing="0" w:after="0" w:afterAutospacing="0" w:line="560" w:lineRule="exact"/>
        <w:ind w:firstLine="648" w:firstLineChars="200"/>
        <w:jc w:val="both"/>
        <w:rPr>
          <w:rFonts w:ascii="仿宋" w:hAnsi="仿宋" w:eastAsia="仿宋" w:cs="仿宋"/>
          <w:sz w:val="32"/>
          <w:szCs w:val="32"/>
        </w:rPr>
      </w:pPr>
      <w:r>
        <w:rPr>
          <w:rFonts w:hint="eastAsia" w:ascii="仿宋" w:hAnsi="仿宋" w:eastAsia="仿宋" w:cs="仿宋"/>
          <w:sz w:val="32"/>
          <w:szCs w:val="32"/>
        </w:rPr>
        <w:t>12.合同期内整个食堂的卫生防疫、就餐环境必须达到餐饮业卫生标准，采购人有权定期对场地进行安全卫生检查，监督</w:t>
      </w:r>
      <w:r>
        <w:rPr>
          <w:rFonts w:hint="eastAsia" w:ascii="仿宋" w:hAnsi="仿宋" w:eastAsia="仿宋" w:cs="仿宋"/>
          <w:sz w:val="32"/>
          <w:szCs w:val="32"/>
          <w:lang w:eastAsia="zh-CN"/>
        </w:rPr>
        <w:t>中标供应商</w:t>
      </w:r>
      <w:r>
        <w:rPr>
          <w:rFonts w:hint="eastAsia" w:ascii="仿宋" w:hAnsi="仿宋" w:eastAsia="仿宋" w:cs="仿宋"/>
          <w:sz w:val="32"/>
          <w:szCs w:val="32"/>
        </w:rPr>
        <w:t>做好相关卫生防疫工作及有关证件的年审年检工作，相关费用由</w:t>
      </w:r>
      <w:r>
        <w:rPr>
          <w:rFonts w:hint="eastAsia" w:ascii="仿宋" w:hAnsi="仿宋" w:eastAsia="仿宋" w:cs="仿宋"/>
          <w:sz w:val="32"/>
          <w:szCs w:val="32"/>
          <w:lang w:eastAsia="zh-CN"/>
        </w:rPr>
        <w:t>中标供应商</w:t>
      </w:r>
      <w:r>
        <w:rPr>
          <w:rFonts w:hint="eastAsia" w:ascii="仿宋" w:hAnsi="仿宋" w:eastAsia="仿宋" w:cs="仿宋"/>
          <w:sz w:val="32"/>
          <w:szCs w:val="32"/>
        </w:rPr>
        <w:t>支付。</w:t>
      </w:r>
    </w:p>
    <w:p w14:paraId="0A24F614">
      <w:pPr>
        <w:rPr>
          <w:rFonts w:ascii="仿宋" w:hAnsi="仿宋" w:eastAsia="仿宋" w:cs="仿宋"/>
          <w:b/>
          <w:bCs/>
          <w:kern w:val="0"/>
          <w:sz w:val="32"/>
          <w:szCs w:val="32"/>
        </w:rPr>
      </w:pPr>
      <w:r>
        <w:rPr>
          <w:rFonts w:hint="eastAsia" w:ascii="仿宋" w:hAnsi="仿宋" w:eastAsia="仿宋" w:cs="仿宋"/>
          <w:b/>
          <w:bCs/>
          <w:kern w:val="0"/>
          <w:sz w:val="32"/>
          <w:szCs w:val="32"/>
        </w:rPr>
        <w:br w:type="page"/>
      </w:r>
    </w:p>
    <w:p w14:paraId="57FDC3A0">
      <w:pPr>
        <w:widowControl/>
        <w:spacing w:line="560" w:lineRule="exact"/>
        <w:jc w:val="center"/>
        <w:rPr>
          <w:rFonts w:ascii="黑体" w:hAnsi="黑体" w:eastAsia="黑体" w:cs="黑体"/>
          <w:kern w:val="0"/>
          <w:sz w:val="32"/>
          <w:szCs w:val="32"/>
        </w:rPr>
      </w:pPr>
      <w:r>
        <w:rPr>
          <w:rFonts w:hint="eastAsia" w:ascii="黑体" w:hAnsi="黑体" w:eastAsia="黑体" w:cs="黑体"/>
          <w:kern w:val="0"/>
          <w:sz w:val="32"/>
          <w:szCs w:val="32"/>
        </w:rPr>
        <w:t>第</w:t>
      </w:r>
      <w:r>
        <w:rPr>
          <w:rFonts w:hint="eastAsia" w:ascii="黑体" w:hAnsi="黑体" w:eastAsia="黑体" w:cs="黑体"/>
          <w:kern w:val="0"/>
          <w:sz w:val="32"/>
          <w:szCs w:val="32"/>
          <w:lang w:val="en-US" w:eastAsia="zh-CN"/>
        </w:rPr>
        <w:t>三</w:t>
      </w:r>
      <w:r>
        <w:rPr>
          <w:rFonts w:hint="eastAsia" w:ascii="黑体" w:hAnsi="黑体" w:eastAsia="黑体" w:cs="黑体"/>
          <w:kern w:val="0"/>
          <w:sz w:val="32"/>
          <w:szCs w:val="32"/>
        </w:rPr>
        <w:t>章 比选办法</w:t>
      </w:r>
    </w:p>
    <w:p w14:paraId="296EDA15">
      <w:pPr>
        <w:widowControl/>
        <w:spacing w:line="560" w:lineRule="exact"/>
        <w:jc w:val="center"/>
        <w:rPr>
          <w:rFonts w:ascii="黑体" w:hAnsi="黑体" w:eastAsia="黑体" w:cs="黑体"/>
          <w:kern w:val="0"/>
          <w:sz w:val="32"/>
          <w:szCs w:val="32"/>
        </w:rPr>
      </w:pPr>
    </w:p>
    <w:p w14:paraId="4FB25193">
      <w:pPr>
        <w:widowControl/>
        <w:spacing w:line="560" w:lineRule="exact"/>
        <w:ind w:firstLine="640" w:firstLineChars="200"/>
        <w:outlineLvl w:val="0"/>
        <w:rPr>
          <w:rFonts w:ascii="黑体" w:hAnsi="黑体" w:eastAsia="黑体" w:cs="黑体"/>
          <w:kern w:val="0"/>
          <w:sz w:val="32"/>
          <w:szCs w:val="32"/>
        </w:rPr>
      </w:pPr>
      <w:r>
        <w:rPr>
          <w:rFonts w:hint="eastAsia" w:ascii="黑体" w:hAnsi="黑体" w:eastAsia="黑体" w:cs="黑体"/>
          <w:kern w:val="0"/>
          <w:sz w:val="32"/>
          <w:szCs w:val="32"/>
        </w:rPr>
        <w:t>一、评审方法</w:t>
      </w:r>
    </w:p>
    <w:p w14:paraId="291A7F30">
      <w:pPr>
        <w:widowControl/>
        <w:spacing w:line="560" w:lineRule="exact"/>
        <w:ind w:firstLine="668" w:firstLineChars="209"/>
        <w:jc w:val="left"/>
        <w:rPr>
          <w:rFonts w:ascii="仿宋" w:hAnsi="仿宋" w:eastAsia="仿宋" w:cs="仿宋"/>
          <w:kern w:val="0"/>
          <w:sz w:val="32"/>
          <w:szCs w:val="32"/>
        </w:rPr>
      </w:pPr>
      <w:r>
        <w:rPr>
          <w:rFonts w:hint="eastAsia" w:ascii="仿宋" w:hAnsi="仿宋" w:eastAsia="仿宋" w:cs="仿宋"/>
          <w:kern w:val="0"/>
          <w:sz w:val="32"/>
          <w:szCs w:val="32"/>
        </w:rPr>
        <w:t>本项目采用综合评分法，即</w:t>
      </w:r>
      <w:r>
        <w:rPr>
          <w:rFonts w:hint="eastAsia" w:ascii="仿宋" w:hAnsi="仿宋" w:eastAsia="仿宋" w:cs="仿宋"/>
          <w:kern w:val="0"/>
          <w:sz w:val="32"/>
          <w:szCs w:val="32"/>
          <w:highlight w:val="none"/>
        </w:rPr>
        <w:t>响应</w:t>
      </w:r>
      <w:r>
        <w:rPr>
          <w:rFonts w:hint="eastAsia" w:ascii="仿宋" w:hAnsi="仿宋" w:eastAsia="仿宋" w:cs="仿宋"/>
          <w:kern w:val="0"/>
          <w:sz w:val="32"/>
          <w:szCs w:val="32"/>
        </w:rPr>
        <w:t>文件满足采购文件实质性要求，且按照评审因素的量化指标评审得分最高的响应人成为中选供应商的评标方法。</w:t>
      </w:r>
    </w:p>
    <w:p w14:paraId="3F38CA8E">
      <w:pPr>
        <w:widowControl/>
        <w:spacing w:line="560" w:lineRule="exact"/>
        <w:ind w:firstLine="640" w:firstLineChars="200"/>
        <w:outlineLvl w:val="0"/>
        <w:rPr>
          <w:rFonts w:ascii="黑体" w:hAnsi="黑体" w:eastAsia="黑体" w:cs="黑体"/>
          <w:kern w:val="0"/>
          <w:sz w:val="32"/>
          <w:szCs w:val="32"/>
        </w:rPr>
      </w:pPr>
      <w:r>
        <w:rPr>
          <w:rFonts w:hint="eastAsia" w:ascii="黑体" w:hAnsi="黑体" w:eastAsia="黑体" w:cs="黑体"/>
          <w:kern w:val="0"/>
          <w:sz w:val="32"/>
          <w:szCs w:val="32"/>
        </w:rPr>
        <w:t>二、比选原则</w:t>
      </w:r>
    </w:p>
    <w:p w14:paraId="35026FF0">
      <w:pPr>
        <w:widowControl/>
        <w:spacing w:line="560" w:lineRule="exact"/>
        <w:ind w:firstLine="668" w:firstLineChars="209"/>
        <w:jc w:val="left"/>
        <w:rPr>
          <w:rFonts w:ascii="仿宋" w:hAnsi="仿宋" w:eastAsia="仿宋" w:cs="仿宋"/>
          <w:kern w:val="0"/>
          <w:sz w:val="32"/>
          <w:szCs w:val="32"/>
        </w:rPr>
      </w:pPr>
      <w:r>
        <w:rPr>
          <w:rFonts w:hint="eastAsia" w:ascii="仿宋" w:hAnsi="仿宋" w:eastAsia="仿宋" w:cs="仿宋"/>
          <w:kern w:val="0"/>
          <w:sz w:val="32"/>
          <w:szCs w:val="32"/>
        </w:rPr>
        <w:t>采购人按照附表1-3内容组织专家评审组对响应人递交的响应文件开展资格性审查、符合性审查及综合评分，按照综合得分从高到低原则选取1家餐饮服务供应商并签订食堂委托经营服务协议。</w:t>
      </w:r>
    </w:p>
    <w:p w14:paraId="0CD3104B">
      <w:pPr>
        <w:widowControl/>
        <w:spacing w:line="560" w:lineRule="exact"/>
        <w:ind w:firstLine="640" w:firstLineChars="200"/>
        <w:outlineLvl w:val="0"/>
        <w:rPr>
          <w:rFonts w:ascii="黑体" w:hAnsi="黑体" w:eastAsia="黑体" w:cs="仿宋"/>
          <w:bCs/>
          <w:kern w:val="0"/>
          <w:sz w:val="32"/>
          <w:szCs w:val="32"/>
        </w:rPr>
      </w:pPr>
      <w:r>
        <w:rPr>
          <w:rFonts w:hint="eastAsia" w:ascii="黑体" w:hAnsi="黑体" w:eastAsia="黑体" w:cs="仿宋"/>
          <w:bCs/>
          <w:kern w:val="0"/>
          <w:sz w:val="32"/>
          <w:szCs w:val="32"/>
        </w:rPr>
        <w:t>三、中选通知及合同授予</w:t>
      </w:r>
    </w:p>
    <w:p w14:paraId="1CDC9E34">
      <w:pPr>
        <w:widowControl/>
        <w:spacing w:line="560" w:lineRule="exact"/>
        <w:ind w:left="105" w:leftChars="50" w:firstLine="569" w:firstLineChars="178"/>
        <w:jc w:val="left"/>
        <w:rPr>
          <w:rFonts w:ascii="仿宋" w:hAnsi="仿宋" w:eastAsia="仿宋" w:cs="仿宋"/>
          <w:kern w:val="0"/>
          <w:sz w:val="32"/>
          <w:szCs w:val="32"/>
        </w:rPr>
      </w:pPr>
      <w:r>
        <w:rPr>
          <w:rFonts w:hint="eastAsia" w:ascii="仿宋" w:hAnsi="仿宋" w:eastAsia="仿宋" w:cs="仿宋"/>
          <w:kern w:val="0"/>
          <w:sz w:val="32"/>
          <w:szCs w:val="32"/>
        </w:rPr>
        <w:t>比选结果确定后，采购人向中选餐饮服务供应商发出中选通知书，采购人与中选供应商应自中选通知书发出之日起5天内，根据采购文件和响应文件签订食堂委托经营服务协议。</w:t>
      </w:r>
    </w:p>
    <w:p w14:paraId="0B5460B3">
      <w:pPr>
        <w:widowControl/>
        <w:spacing w:line="560" w:lineRule="exact"/>
        <w:ind w:firstLine="640" w:firstLineChars="200"/>
        <w:outlineLvl w:val="0"/>
        <w:rPr>
          <w:rFonts w:ascii="黑体" w:hAnsi="黑体" w:eastAsia="黑体" w:cs="仿宋"/>
          <w:bCs/>
          <w:kern w:val="0"/>
          <w:sz w:val="32"/>
          <w:szCs w:val="32"/>
        </w:rPr>
      </w:pPr>
      <w:r>
        <w:rPr>
          <w:rFonts w:hint="eastAsia" w:ascii="黑体" w:hAnsi="黑体" w:eastAsia="黑体" w:cs="仿宋"/>
          <w:bCs/>
          <w:kern w:val="0"/>
          <w:sz w:val="32"/>
          <w:szCs w:val="32"/>
        </w:rPr>
        <w:t>四、说明</w:t>
      </w:r>
    </w:p>
    <w:p w14:paraId="26AE7B42">
      <w:pPr>
        <w:widowControl/>
        <w:spacing w:line="560" w:lineRule="exact"/>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（一）本采购文件未尽事宜，按国家相关法律法规的规定执行。</w:t>
      </w:r>
    </w:p>
    <w:p w14:paraId="3B6C0249">
      <w:pPr>
        <w:widowControl/>
        <w:spacing w:line="560" w:lineRule="exact"/>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（二）当递交响应文件的响应人不足3家时，重新组织比选。</w:t>
      </w:r>
    </w:p>
    <w:p w14:paraId="7E1E5C2C">
      <w:pPr>
        <w:widowControl/>
        <w:spacing w:line="360" w:lineRule="auto"/>
        <w:rPr>
          <w:rFonts w:ascii="仿宋" w:hAnsi="仿宋" w:eastAsia="仿宋" w:cs="仿宋"/>
          <w:b/>
          <w:bCs/>
          <w:spacing w:val="15"/>
          <w:kern w:val="0"/>
          <w:sz w:val="32"/>
          <w:szCs w:val="32"/>
        </w:rPr>
        <w:sectPr>
          <w:footerReference r:id="rId3" w:type="default"/>
          <w:pgSz w:w="11906" w:h="16838"/>
          <w:pgMar w:top="1985" w:right="1531" w:bottom="1871" w:left="1531" w:header="851" w:footer="992" w:gutter="0"/>
          <w:pgNumType w:fmt="numberInDash"/>
          <w:cols w:space="720" w:num="1"/>
          <w:docGrid w:type="lines" w:linePitch="312" w:charSpace="0"/>
        </w:sectPr>
      </w:pPr>
    </w:p>
    <w:p w14:paraId="04BB2058">
      <w:pPr>
        <w:widowControl/>
        <w:spacing w:line="360" w:lineRule="auto"/>
        <w:rPr>
          <w:rFonts w:ascii="仿宋" w:hAnsi="仿宋" w:eastAsia="仿宋" w:cs="黑体"/>
          <w:b/>
          <w:bCs/>
          <w:spacing w:val="15"/>
          <w:kern w:val="0"/>
          <w:sz w:val="24"/>
        </w:rPr>
      </w:pPr>
      <w:r>
        <w:rPr>
          <w:rFonts w:hint="eastAsia" w:ascii="仿宋" w:hAnsi="仿宋" w:eastAsia="仿宋" w:cs="黑体"/>
          <w:b/>
          <w:bCs/>
          <w:spacing w:val="15"/>
          <w:kern w:val="0"/>
          <w:sz w:val="24"/>
        </w:rPr>
        <w:t>附表1</w:t>
      </w:r>
    </w:p>
    <w:p w14:paraId="4A2E7058">
      <w:pPr>
        <w:widowControl/>
        <w:spacing w:line="360" w:lineRule="auto"/>
        <w:jc w:val="center"/>
        <w:rPr>
          <w:rFonts w:ascii="仿宋" w:hAnsi="仿宋" w:eastAsia="仿宋" w:cs="宋体"/>
          <w:spacing w:val="15"/>
          <w:kern w:val="0"/>
          <w:sz w:val="24"/>
        </w:rPr>
      </w:pPr>
      <w:r>
        <w:rPr>
          <w:rFonts w:hint="eastAsia" w:ascii="仿宋" w:hAnsi="仿宋" w:eastAsia="仿宋" w:cs="宋体"/>
          <w:b/>
          <w:bCs/>
          <w:spacing w:val="15"/>
          <w:kern w:val="0"/>
          <w:sz w:val="32"/>
          <w:szCs w:val="32"/>
        </w:rPr>
        <w:t>资格性审查表</w:t>
      </w:r>
    </w:p>
    <w:p w14:paraId="44EEC874">
      <w:pPr>
        <w:widowControl/>
        <w:jc w:val="left"/>
        <w:textAlignment w:val="top"/>
        <w:rPr>
          <w:rFonts w:ascii="仿宋" w:hAnsi="仿宋" w:eastAsia="仿宋" w:cs="宋体"/>
          <w:spacing w:val="15"/>
          <w:kern w:val="0"/>
          <w:szCs w:val="21"/>
        </w:rPr>
      </w:pPr>
    </w:p>
    <w:tbl>
      <w:tblPr>
        <w:tblStyle w:val="1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28"/>
        <w:gridCol w:w="1290"/>
        <w:gridCol w:w="6915"/>
      </w:tblGrid>
      <w:tr w14:paraId="227FED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2" w:hRule="atLeast"/>
        </w:trPr>
        <w:tc>
          <w:tcPr>
            <w:tcW w:w="728" w:type="dxa"/>
            <w:vMerge w:val="restart"/>
          </w:tcPr>
          <w:p w14:paraId="5298A434">
            <w:pPr>
              <w:jc w:val="center"/>
            </w:pPr>
            <w:r>
              <w:t>序号</w:t>
            </w:r>
          </w:p>
        </w:tc>
        <w:tc>
          <w:tcPr>
            <w:tcW w:w="1290" w:type="dxa"/>
            <w:vMerge w:val="restart"/>
          </w:tcPr>
          <w:p w14:paraId="1008E4F5">
            <w:pPr>
              <w:jc w:val="center"/>
            </w:pPr>
            <w:r>
              <w:t>资格审查</w:t>
            </w:r>
            <w:r>
              <w:rPr>
                <w:rFonts w:hint="eastAsia"/>
              </w:rPr>
              <w:t>项目</w:t>
            </w:r>
          </w:p>
        </w:tc>
        <w:tc>
          <w:tcPr>
            <w:tcW w:w="6915" w:type="dxa"/>
            <w:vMerge w:val="restart"/>
            <w:vAlign w:val="center"/>
          </w:tcPr>
          <w:p w14:paraId="701EA74E">
            <w:pPr>
              <w:jc w:val="center"/>
            </w:pPr>
            <w:r>
              <w:rPr>
                <w:rFonts w:hint="eastAsia"/>
              </w:rPr>
              <w:t>资格审查内容</w:t>
            </w:r>
          </w:p>
        </w:tc>
      </w:tr>
      <w:tr w14:paraId="6E0D10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37" w:hRule="atLeast"/>
        </w:trPr>
        <w:tc>
          <w:tcPr>
            <w:tcW w:w="728" w:type="dxa"/>
            <w:vMerge w:val="continue"/>
          </w:tcPr>
          <w:p w14:paraId="60854FFB">
            <w:pPr>
              <w:jc w:val="center"/>
            </w:pPr>
          </w:p>
        </w:tc>
        <w:tc>
          <w:tcPr>
            <w:tcW w:w="1290" w:type="dxa"/>
            <w:vMerge w:val="continue"/>
          </w:tcPr>
          <w:p w14:paraId="4D780216">
            <w:pPr>
              <w:jc w:val="center"/>
            </w:pPr>
          </w:p>
        </w:tc>
        <w:tc>
          <w:tcPr>
            <w:tcW w:w="6915" w:type="dxa"/>
            <w:vMerge w:val="continue"/>
          </w:tcPr>
          <w:p w14:paraId="379D8EB3">
            <w:pPr>
              <w:jc w:val="center"/>
            </w:pPr>
          </w:p>
        </w:tc>
      </w:tr>
      <w:tr w14:paraId="197E50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76" w:hRule="atLeast"/>
        </w:trPr>
        <w:tc>
          <w:tcPr>
            <w:tcW w:w="728" w:type="dxa"/>
            <w:vAlign w:val="center"/>
          </w:tcPr>
          <w:p w14:paraId="2AC8360F">
            <w:pPr>
              <w:jc w:val="center"/>
            </w:pPr>
            <w:r>
              <w:t>1</w:t>
            </w:r>
          </w:p>
        </w:tc>
        <w:tc>
          <w:tcPr>
            <w:tcW w:w="1290" w:type="dxa"/>
            <w:vAlign w:val="center"/>
          </w:tcPr>
          <w:p w14:paraId="0F782CD0">
            <w:pPr>
              <w:jc w:val="center"/>
            </w:pPr>
            <w:r>
              <w:rPr>
                <w:sz w:val="18"/>
                <w:szCs w:val="18"/>
              </w:rPr>
              <w:t>具有独立承担民事责任的能力</w:t>
            </w:r>
          </w:p>
        </w:tc>
        <w:tc>
          <w:tcPr>
            <w:tcW w:w="6915" w:type="dxa"/>
          </w:tcPr>
          <w:p w14:paraId="6DD0D2C9">
            <w:r>
              <w:t>在中华人民共和国境内注册的法人或其他组织或自然人，</w:t>
            </w:r>
            <w:r>
              <w:rPr>
                <w:rFonts w:hint="eastAsia"/>
              </w:rPr>
              <w:t>响应</w:t>
            </w:r>
            <w:r>
              <w:t>时提交有效的营业执照（或事业法人登记证或身份证等相关证明）副本</w:t>
            </w:r>
            <w:r>
              <w:rPr>
                <w:rFonts w:hint="eastAsia"/>
              </w:rPr>
              <w:t>复印件</w:t>
            </w:r>
            <w:r>
              <w:t>。分支机构投标的，须提供总公司和分公司营业执照副本复印件，总公司出具给分支机构的授权书。</w:t>
            </w:r>
          </w:p>
        </w:tc>
      </w:tr>
      <w:tr w14:paraId="697D02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8" w:type="dxa"/>
            <w:shd w:val="clear" w:color="auto" w:fill="auto"/>
            <w:vAlign w:val="top"/>
          </w:tcPr>
          <w:p w14:paraId="7C95BB5A">
            <w:pPr>
              <w:pStyle w:val="44"/>
              <w:jc w:val="center"/>
              <w:rPr>
                <w:rFonts w:hint="eastAsia" w:asciiTheme="minorHAnsi" w:hAnsiTheme="minorHAnsi" w:eastAsiaTheme="minorEastAsia" w:cstheme="minorBidi"/>
                <w:lang w:val="en-US" w:eastAsia="zh-CN"/>
              </w:rPr>
            </w:pPr>
            <w:r>
              <w:t>2</w:t>
            </w:r>
          </w:p>
        </w:tc>
        <w:tc>
          <w:tcPr>
            <w:tcW w:w="1290" w:type="dxa"/>
            <w:shd w:val="clear" w:color="auto" w:fill="auto"/>
            <w:vAlign w:val="top"/>
          </w:tcPr>
          <w:p w14:paraId="2AB55286">
            <w:pPr>
              <w:pStyle w:val="44"/>
              <w:rPr>
                <w:rFonts w:hint="eastAsia" w:asciiTheme="minorHAnsi" w:hAnsiTheme="minorHAnsi" w:eastAsiaTheme="minorEastAsia" w:cstheme="minorBidi"/>
                <w:lang w:val="en-US" w:eastAsia="zh-Hans"/>
              </w:rPr>
            </w:pPr>
            <w:r>
              <w:t>有依法缴纳税收和社会保障资金的良好记录</w:t>
            </w:r>
          </w:p>
        </w:tc>
        <w:tc>
          <w:tcPr>
            <w:tcW w:w="6915" w:type="dxa"/>
            <w:shd w:val="clear" w:color="auto" w:fill="auto"/>
            <w:vAlign w:val="top"/>
          </w:tcPr>
          <w:p w14:paraId="79D978E9">
            <w:pPr>
              <w:pStyle w:val="44"/>
              <w:rPr>
                <w:rFonts w:hint="eastAsia" w:asciiTheme="minorHAnsi" w:hAnsiTheme="minorHAnsi" w:eastAsiaTheme="minorEastAsia" w:cstheme="minorBidi"/>
                <w:lang w:val="en-US" w:eastAsia="zh-CN"/>
              </w:rPr>
            </w:pPr>
            <w:r>
              <w:rPr>
                <w:rFonts w:hint="eastAsia"/>
                <w:lang w:val="en-US" w:eastAsia="zh-CN"/>
              </w:rPr>
              <w:t>投标文件中提供《资格条件承诺函》(</w:t>
            </w:r>
            <w:r>
              <w:t>格式详见</w:t>
            </w:r>
            <w:r>
              <w:rPr>
                <w:rFonts w:hint="eastAsia"/>
                <w:lang w:val="en-US" w:eastAsia="zh-CN"/>
              </w:rPr>
              <w:t>比选</w:t>
            </w:r>
            <w:r>
              <w:t>公告</w:t>
            </w:r>
            <w:r>
              <w:rPr>
                <w:rFonts w:hint="eastAsia"/>
                <w:lang w:val="en-US" w:eastAsia="zh-CN"/>
              </w:rPr>
              <w:t>附件)并</w:t>
            </w:r>
            <w:r>
              <w:t>提供</w:t>
            </w:r>
            <w:r>
              <w:rPr>
                <w:rFonts w:hint="eastAsia"/>
              </w:rPr>
              <w:t>响应</w:t>
            </w:r>
            <w:r>
              <w:t>截止日前6个月（含</w:t>
            </w:r>
            <w:r>
              <w:rPr>
                <w:rFonts w:hint="eastAsia"/>
              </w:rPr>
              <w:t>响应</w:t>
            </w:r>
            <w:r>
              <w:t>截止时间当月）内任意1个月依法缴纳税收和社会保障资金的相关材料。如依法免税或不需要缴纳社会保障资金的，提供相应证明材料</w:t>
            </w:r>
            <w:r>
              <w:rPr>
                <w:rFonts w:hint="eastAsia"/>
                <w:lang w:eastAsia="zh-CN"/>
              </w:rPr>
              <w:t>。</w:t>
            </w:r>
          </w:p>
        </w:tc>
      </w:tr>
      <w:tr w14:paraId="5739DD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8" w:type="dxa"/>
            <w:shd w:val="clear" w:color="auto" w:fill="auto"/>
            <w:vAlign w:val="top"/>
          </w:tcPr>
          <w:p w14:paraId="71A1FAA3">
            <w:pPr>
              <w:pStyle w:val="44"/>
              <w:jc w:val="center"/>
              <w:rPr>
                <w:rFonts w:hint="eastAsia" w:asciiTheme="minorHAnsi" w:hAnsiTheme="minorHAnsi" w:eastAsiaTheme="minorEastAsia" w:cstheme="minorBidi"/>
                <w:lang w:val="en-US" w:eastAsia="zh-CN"/>
              </w:rPr>
            </w:pPr>
            <w:r>
              <w:t>3</w:t>
            </w:r>
          </w:p>
        </w:tc>
        <w:tc>
          <w:tcPr>
            <w:tcW w:w="1290" w:type="dxa"/>
            <w:shd w:val="clear" w:color="auto" w:fill="auto"/>
            <w:vAlign w:val="top"/>
          </w:tcPr>
          <w:p w14:paraId="2D0EEC57">
            <w:pPr>
              <w:pStyle w:val="44"/>
              <w:rPr>
                <w:rFonts w:hint="eastAsia" w:asciiTheme="minorHAnsi" w:hAnsiTheme="minorHAnsi" w:eastAsiaTheme="minorEastAsia" w:cstheme="minorBidi"/>
                <w:lang w:val="en-US" w:eastAsia="zh-Hans"/>
              </w:rPr>
            </w:pPr>
            <w:r>
              <w:t>具有良好的商业信誉和健全的财务会计制度</w:t>
            </w:r>
          </w:p>
        </w:tc>
        <w:tc>
          <w:tcPr>
            <w:tcW w:w="6915" w:type="dxa"/>
            <w:shd w:val="clear" w:color="auto" w:fill="auto"/>
            <w:vAlign w:val="top"/>
          </w:tcPr>
          <w:p w14:paraId="637197E1">
            <w:pPr>
              <w:pStyle w:val="44"/>
              <w:rPr>
                <w:rFonts w:hint="eastAsia" w:asciiTheme="minorHAnsi" w:hAnsiTheme="minorHAnsi" w:eastAsiaTheme="minorEastAsia" w:cstheme="minorBidi"/>
                <w:lang w:val="en-US" w:eastAsia="zh-CN"/>
              </w:rPr>
            </w:pPr>
            <w:r>
              <w:rPr>
                <w:rFonts w:hint="eastAsia"/>
                <w:lang w:val="en-US" w:eastAsia="zh-CN"/>
              </w:rPr>
              <w:t>投标文件中提供《资格条件承诺函》(</w:t>
            </w:r>
            <w:r>
              <w:t>格式详见</w:t>
            </w:r>
            <w:r>
              <w:rPr>
                <w:rFonts w:hint="eastAsia"/>
                <w:lang w:val="en-US" w:eastAsia="zh-CN"/>
              </w:rPr>
              <w:t>比选</w:t>
            </w:r>
            <w:r>
              <w:t>公告</w:t>
            </w:r>
            <w:r>
              <w:rPr>
                <w:rFonts w:hint="eastAsia"/>
                <w:lang w:val="en-US" w:eastAsia="zh-CN"/>
              </w:rPr>
              <w:t>附件)</w:t>
            </w:r>
            <w:r>
              <w:rPr>
                <w:rFonts w:hint="eastAsia"/>
                <w:lang w:eastAsia="zh-CN"/>
              </w:rPr>
              <w:t>。</w:t>
            </w:r>
          </w:p>
        </w:tc>
      </w:tr>
      <w:tr w14:paraId="5DE15E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8" w:type="dxa"/>
            <w:shd w:val="clear" w:color="auto" w:fill="auto"/>
            <w:vAlign w:val="top"/>
          </w:tcPr>
          <w:p w14:paraId="227A3488">
            <w:pPr>
              <w:pStyle w:val="44"/>
              <w:jc w:val="center"/>
              <w:rPr>
                <w:rFonts w:hint="eastAsia" w:asciiTheme="minorHAnsi" w:hAnsiTheme="minorHAnsi" w:eastAsiaTheme="minorEastAsia" w:cstheme="minorBidi"/>
                <w:lang w:val="en-US" w:eastAsia="zh-CN"/>
              </w:rPr>
            </w:pPr>
            <w:r>
              <w:t>4</w:t>
            </w:r>
          </w:p>
        </w:tc>
        <w:tc>
          <w:tcPr>
            <w:tcW w:w="1290" w:type="dxa"/>
            <w:shd w:val="clear" w:color="auto" w:fill="auto"/>
            <w:vAlign w:val="top"/>
          </w:tcPr>
          <w:p w14:paraId="6ABB1B9B">
            <w:pPr>
              <w:pStyle w:val="44"/>
              <w:rPr>
                <w:rFonts w:hint="eastAsia" w:asciiTheme="minorHAnsi" w:hAnsiTheme="minorHAnsi" w:eastAsiaTheme="minorEastAsia" w:cstheme="minorBidi"/>
                <w:lang w:val="en-US" w:eastAsia="zh-Hans"/>
              </w:rPr>
            </w:pPr>
            <w:r>
              <w:t>履行合同所必需的设备和专业技术能力</w:t>
            </w:r>
          </w:p>
        </w:tc>
        <w:tc>
          <w:tcPr>
            <w:tcW w:w="6915" w:type="dxa"/>
            <w:shd w:val="clear" w:color="auto" w:fill="auto"/>
            <w:vAlign w:val="top"/>
          </w:tcPr>
          <w:p w14:paraId="5F7CAAA2">
            <w:pPr>
              <w:pStyle w:val="44"/>
              <w:rPr>
                <w:rFonts w:hint="eastAsia" w:asciiTheme="minorHAnsi" w:hAnsiTheme="minorHAnsi" w:eastAsiaTheme="minorEastAsia" w:cstheme="minorBidi"/>
                <w:lang w:val="en-US" w:eastAsia="zh-Hans"/>
              </w:rPr>
            </w:pPr>
            <w:r>
              <w:t>投标文件中提供《资格条件承诺函》，格式详见</w:t>
            </w:r>
            <w:r>
              <w:rPr>
                <w:rFonts w:hint="eastAsia"/>
                <w:lang w:eastAsia="zh-CN"/>
              </w:rPr>
              <w:t>比选公告</w:t>
            </w:r>
            <w:r>
              <w:t>附件。</w:t>
            </w:r>
          </w:p>
        </w:tc>
      </w:tr>
      <w:tr w14:paraId="4D310F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8" w:type="dxa"/>
            <w:shd w:val="clear" w:color="auto" w:fill="auto"/>
            <w:vAlign w:val="center"/>
          </w:tcPr>
          <w:p w14:paraId="46F12B49">
            <w:pPr>
              <w:jc w:val="center"/>
              <w:rPr>
                <w:rFonts w:hint="default"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5</w:t>
            </w:r>
          </w:p>
        </w:tc>
        <w:tc>
          <w:tcPr>
            <w:tcW w:w="1290" w:type="dxa"/>
            <w:shd w:val="clear" w:color="auto" w:fill="auto"/>
            <w:vAlign w:val="center"/>
          </w:tcPr>
          <w:p w14:paraId="5764423B">
            <w:pPr>
              <w:jc w:val="center"/>
              <w:rPr>
                <w:rFonts w:asciiTheme="minorHAnsi" w:hAnsiTheme="minorHAnsi" w:eastAsiaTheme="minorEastAsia" w:cstheme="minorBidi"/>
                <w:kern w:val="2"/>
                <w:sz w:val="21"/>
                <w:szCs w:val="22"/>
                <w:lang w:val="en-US" w:eastAsia="zh-CN" w:bidi="ar-SA"/>
              </w:rPr>
            </w:pPr>
            <w:r>
              <w:t>参加采购活动前3年内，在经营活动中没有重大违法记录</w:t>
            </w:r>
          </w:p>
        </w:tc>
        <w:tc>
          <w:tcPr>
            <w:tcW w:w="6915" w:type="dxa"/>
            <w:shd w:val="clear" w:color="auto" w:fill="auto"/>
            <w:vAlign w:val="top"/>
          </w:tcPr>
          <w:p w14:paraId="4117B757">
            <w:pPr>
              <w:rPr>
                <w:rFonts w:asciiTheme="minorHAnsi" w:hAnsiTheme="minorHAnsi" w:eastAsiaTheme="minorEastAsia" w:cstheme="minorBidi"/>
                <w:kern w:val="2"/>
                <w:sz w:val="21"/>
                <w:szCs w:val="22"/>
                <w:lang w:val="en-US" w:eastAsia="zh-CN" w:bidi="ar-SA"/>
              </w:rPr>
            </w:pPr>
            <w:r>
              <w:rPr>
                <w:rFonts w:hint="eastAsia"/>
                <w:lang w:val="en-US" w:eastAsia="zh-CN"/>
              </w:rPr>
              <w:t>投标文件中提供《资格条件承诺函》，</w:t>
            </w:r>
            <w:r>
              <w:t>格式详见</w:t>
            </w:r>
            <w:r>
              <w:rPr>
                <w:rFonts w:hint="eastAsia"/>
                <w:lang w:eastAsia="zh-CN"/>
              </w:rPr>
              <w:t>比选公告</w:t>
            </w:r>
            <w:r>
              <w:t>附件。 重大违法记录，是指</w:t>
            </w:r>
            <w:r>
              <w:rPr>
                <w:rFonts w:hint="eastAsia"/>
              </w:rPr>
              <w:t>响应</w:t>
            </w:r>
            <w:r>
              <w:t>人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7A6B2A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8" w:type="dxa"/>
            <w:vAlign w:val="center"/>
          </w:tcPr>
          <w:p w14:paraId="7F58DB2E">
            <w:pPr>
              <w:jc w:val="center"/>
              <w:rPr>
                <w:rFonts w:hint="default" w:eastAsiaTheme="minorEastAsia"/>
                <w:lang w:val="en-US" w:eastAsia="zh-CN"/>
              </w:rPr>
            </w:pPr>
            <w:r>
              <w:rPr>
                <w:rFonts w:hint="eastAsia"/>
                <w:lang w:val="en-US" w:eastAsia="zh-CN"/>
              </w:rPr>
              <w:t>6</w:t>
            </w:r>
          </w:p>
        </w:tc>
        <w:tc>
          <w:tcPr>
            <w:tcW w:w="1290" w:type="dxa"/>
            <w:shd w:val="clear" w:color="auto" w:fill="auto"/>
            <w:vAlign w:val="center"/>
          </w:tcPr>
          <w:p w14:paraId="73D763B9">
            <w:pPr>
              <w:jc w:val="center"/>
              <w:rPr>
                <w:rFonts w:asciiTheme="minorHAnsi" w:hAnsiTheme="minorHAnsi" w:eastAsiaTheme="minorEastAsia" w:cstheme="minorBidi"/>
                <w:kern w:val="2"/>
                <w:sz w:val="21"/>
                <w:szCs w:val="22"/>
                <w:lang w:val="en-US" w:eastAsia="zh-CN" w:bidi="ar-SA"/>
              </w:rPr>
            </w:pPr>
            <w:r>
              <w:t>信用记录</w:t>
            </w:r>
          </w:p>
        </w:tc>
        <w:tc>
          <w:tcPr>
            <w:tcW w:w="6915" w:type="dxa"/>
            <w:shd w:val="clear" w:color="auto" w:fill="auto"/>
            <w:vAlign w:val="top"/>
          </w:tcPr>
          <w:p w14:paraId="73E2101E">
            <w:pPr>
              <w:rPr>
                <w:rFonts w:asciiTheme="minorHAnsi" w:hAnsiTheme="minorHAnsi" w:eastAsiaTheme="minorEastAsia" w:cstheme="minorBidi"/>
                <w:kern w:val="2"/>
                <w:sz w:val="21"/>
                <w:szCs w:val="22"/>
                <w:lang w:val="en-US" w:eastAsia="zh-CN" w:bidi="ar-SA"/>
              </w:rPr>
            </w:pPr>
            <w:r>
              <w:t>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w:t>
            </w:r>
            <w:r>
              <w:rPr>
                <w:rFonts w:hint="eastAsia"/>
              </w:rPr>
              <w:t>响应</w:t>
            </w:r>
            <w:r>
              <w:t>截止时间当天在“信用中国”网站（www.creditchina.gov.cn）及中国政府采购网（http://www.ccgp.gov.cn/）查询结果为准，如相关失信记录已失效，供应商需提供相关证明资料）。</w:t>
            </w:r>
          </w:p>
        </w:tc>
      </w:tr>
      <w:tr w14:paraId="0E3A26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8" w:type="dxa"/>
            <w:shd w:val="clear" w:color="auto" w:fill="auto"/>
            <w:vAlign w:val="top"/>
          </w:tcPr>
          <w:p w14:paraId="63774E01">
            <w:pPr>
              <w:pStyle w:val="44"/>
              <w:jc w:val="center"/>
              <w:rPr>
                <w:rFonts w:hint="eastAsia" w:asciiTheme="minorHAnsi" w:hAnsiTheme="minorHAnsi" w:eastAsiaTheme="minorEastAsia" w:cstheme="minorBidi"/>
                <w:lang w:val="en-US" w:eastAsia="zh-CN"/>
              </w:rPr>
            </w:pPr>
            <w:r>
              <w:t>7</w:t>
            </w:r>
          </w:p>
        </w:tc>
        <w:tc>
          <w:tcPr>
            <w:tcW w:w="1290" w:type="dxa"/>
            <w:shd w:val="clear" w:color="auto" w:fill="auto"/>
            <w:vAlign w:val="top"/>
          </w:tcPr>
          <w:p w14:paraId="3FE36B53">
            <w:pPr>
              <w:pStyle w:val="44"/>
              <w:rPr>
                <w:rFonts w:hint="eastAsia" w:asciiTheme="minorHAnsi" w:hAnsiTheme="minorHAnsi" w:eastAsiaTheme="minorEastAsia" w:cstheme="minorBidi"/>
                <w:lang w:val="en-US" w:eastAsia="zh-Hans"/>
              </w:rPr>
            </w:pPr>
            <w:r>
              <w:t>供应商必须符合法律、行政法规规定的其他条件</w:t>
            </w:r>
          </w:p>
        </w:tc>
        <w:tc>
          <w:tcPr>
            <w:tcW w:w="6915" w:type="dxa"/>
            <w:shd w:val="clear" w:color="auto" w:fill="auto"/>
            <w:vAlign w:val="top"/>
          </w:tcPr>
          <w:p w14:paraId="5526C364">
            <w:pPr>
              <w:pStyle w:val="44"/>
              <w:rPr>
                <w:rFonts w:hint="eastAsia" w:asciiTheme="minorHAnsi" w:hAnsiTheme="minorHAnsi" w:eastAsiaTheme="minorEastAsia" w:cstheme="minorBidi"/>
                <w:lang w:val="en-US" w:eastAsia="zh-Hans"/>
              </w:rPr>
            </w:pPr>
            <w:r>
              <w:t xml:space="preserve">单位负责人为同一人或者存在直接控股、 管理关系的不同供应商，不得同时参加本采购项目（或采购包） 投标（响应）。 </w:t>
            </w:r>
          </w:p>
        </w:tc>
      </w:tr>
      <w:tr w14:paraId="212161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28" w:type="dxa"/>
            <w:vAlign w:val="center"/>
          </w:tcPr>
          <w:p w14:paraId="01CFD227">
            <w:pPr>
              <w:jc w:val="center"/>
              <w:rPr>
                <w:rFonts w:hint="eastAsia" w:eastAsiaTheme="minorEastAsia"/>
                <w:lang w:eastAsia="zh-CN"/>
              </w:rPr>
            </w:pPr>
            <w:r>
              <w:rPr>
                <w:rFonts w:hint="eastAsia"/>
                <w:lang w:val="en-US" w:eastAsia="zh-CN"/>
              </w:rPr>
              <w:t>8</w:t>
            </w:r>
          </w:p>
        </w:tc>
        <w:tc>
          <w:tcPr>
            <w:tcW w:w="1290" w:type="dxa"/>
            <w:vAlign w:val="center"/>
          </w:tcPr>
          <w:p w14:paraId="44845CB3">
            <w:pPr>
              <w:spacing w:line="300" w:lineRule="exact"/>
              <w:jc w:val="center"/>
            </w:pPr>
            <w:r>
              <w:t>供应商必须具有有效期内的《食品经营许可证》</w:t>
            </w:r>
          </w:p>
        </w:tc>
        <w:tc>
          <w:tcPr>
            <w:tcW w:w="6915" w:type="dxa"/>
          </w:tcPr>
          <w:p w14:paraId="4E78DFD3">
            <w:r>
              <w:t>供应商必须具有有效期内的《食品经营许可证》。</w:t>
            </w:r>
            <w:r>
              <w:rPr>
                <w:rFonts w:hint="eastAsia"/>
              </w:rPr>
              <w:t>响应</w:t>
            </w:r>
            <w:r>
              <w:t>时提交证件扫描件；如</w:t>
            </w:r>
            <w:r>
              <w:rPr>
                <w:rFonts w:hint="eastAsia"/>
              </w:rPr>
              <w:t>响应</w:t>
            </w:r>
            <w:r>
              <w:t>人的《食品经营许可证》与营业执照合并办理的，提供扫描营业执照二维码后的有效备案信息截图。</w:t>
            </w:r>
          </w:p>
        </w:tc>
      </w:tr>
      <w:tr w14:paraId="578653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10" w:hRule="atLeast"/>
        </w:trPr>
        <w:tc>
          <w:tcPr>
            <w:tcW w:w="728" w:type="dxa"/>
            <w:vAlign w:val="center"/>
          </w:tcPr>
          <w:p w14:paraId="591134C0">
            <w:pPr>
              <w:jc w:val="center"/>
              <w:rPr>
                <w:rFonts w:hint="eastAsia" w:eastAsiaTheme="minorEastAsia"/>
                <w:lang w:eastAsia="zh-CN"/>
              </w:rPr>
            </w:pPr>
            <w:r>
              <w:rPr>
                <w:rFonts w:hint="eastAsia"/>
                <w:lang w:val="en-US" w:eastAsia="zh-CN"/>
              </w:rPr>
              <w:t>9</w:t>
            </w:r>
          </w:p>
        </w:tc>
        <w:tc>
          <w:tcPr>
            <w:tcW w:w="1290" w:type="dxa"/>
            <w:vAlign w:val="center"/>
          </w:tcPr>
          <w:p w14:paraId="4B2970D2">
            <w:pPr>
              <w:jc w:val="center"/>
            </w:pPr>
            <w:r>
              <w:t>本采购包专门面向中小企业采购</w:t>
            </w:r>
          </w:p>
        </w:tc>
        <w:tc>
          <w:tcPr>
            <w:tcW w:w="6915" w:type="dxa"/>
          </w:tcPr>
          <w:p w14:paraId="7822427D">
            <w:r>
              <w:t>本项目为专门面向中小企业采购项目。本项目采购标的对应的中小企业划分标准所属行业为“餐饮业”，</w:t>
            </w:r>
            <w:r>
              <w:rPr>
                <w:rFonts w:hint="eastAsia"/>
                <w:lang w:val="en-US" w:eastAsia="zh-CN"/>
              </w:rPr>
              <w:t>响应人</w:t>
            </w:r>
            <w:r>
              <w:t>须符合本项目采购标的对应行业（餐饮业）中小企业划分标准</w:t>
            </w:r>
            <w:r>
              <w:rPr>
                <w:rFonts w:hint="eastAsia"/>
                <w:lang w:eastAsia="zh-CN"/>
              </w:rPr>
              <w:t>（</w:t>
            </w:r>
            <w:r>
              <w:t>监狱企业、残疾人福利单位视同小型、微型企业)。中小企业以供应商填写的《中小企业声明函》(格式详见</w:t>
            </w:r>
            <w:r>
              <w:rPr>
                <w:rFonts w:hint="eastAsia"/>
                <w:lang w:eastAsia="zh-CN"/>
              </w:rPr>
              <w:t>比选公告</w:t>
            </w:r>
            <w:r>
              <w:t>附件) 为判定标准，残疾人福利性单位以供应商填写的《残疾人福利性单位声明函》(格式详见</w:t>
            </w:r>
            <w:r>
              <w:rPr>
                <w:rFonts w:hint="eastAsia"/>
                <w:lang w:eastAsia="zh-CN"/>
              </w:rPr>
              <w:t>比选公告</w:t>
            </w:r>
            <w:r>
              <w:t>附件)为判定标准，监狱企业须供应商提供由省级以上监狱管理局、戒毒管理局(含新疆生产建设兵团)出具的属于监狱企业的证明文件，否则不予认定。</w:t>
            </w:r>
          </w:p>
        </w:tc>
      </w:tr>
      <w:tr w14:paraId="796272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30" w:hRule="atLeast"/>
        </w:trPr>
        <w:tc>
          <w:tcPr>
            <w:tcW w:w="728" w:type="dxa"/>
            <w:vAlign w:val="center"/>
          </w:tcPr>
          <w:p w14:paraId="52D8613E">
            <w:pPr>
              <w:jc w:val="center"/>
              <w:rPr>
                <w:rFonts w:hint="default"/>
                <w:lang w:val="en-US" w:eastAsia="zh-CN"/>
              </w:rPr>
            </w:pPr>
            <w:r>
              <w:rPr>
                <w:rFonts w:hint="eastAsia"/>
                <w:lang w:val="en-US" w:eastAsia="zh-CN"/>
              </w:rPr>
              <w:t>10</w:t>
            </w:r>
          </w:p>
        </w:tc>
        <w:tc>
          <w:tcPr>
            <w:tcW w:w="1290" w:type="dxa"/>
            <w:vAlign w:val="center"/>
          </w:tcPr>
          <w:p w14:paraId="4CD9407B">
            <w:pPr>
              <w:jc w:val="center"/>
              <w:rPr>
                <w:rFonts w:hint="default" w:eastAsiaTheme="minorEastAsia"/>
                <w:lang w:val="en-US" w:eastAsia="zh-CN"/>
              </w:rPr>
            </w:pPr>
            <w:r>
              <w:rPr>
                <w:rFonts w:hint="eastAsia"/>
                <w:lang w:val="en-US" w:eastAsia="zh-CN"/>
              </w:rPr>
              <w:t>非联合体比选（投标）</w:t>
            </w:r>
          </w:p>
        </w:tc>
        <w:tc>
          <w:tcPr>
            <w:tcW w:w="6915" w:type="dxa"/>
            <w:vAlign w:val="center"/>
          </w:tcPr>
          <w:p w14:paraId="559386AE">
            <w:pPr>
              <w:jc w:val="left"/>
              <w:rPr>
                <w:rFonts w:hint="default" w:eastAsiaTheme="minorEastAsia"/>
                <w:lang w:val="en-US" w:eastAsia="zh-CN"/>
              </w:rPr>
            </w:pPr>
            <w:r>
              <w:rPr>
                <w:rFonts w:hint="eastAsia"/>
                <w:lang w:val="en-US" w:eastAsia="zh-CN"/>
              </w:rPr>
              <w:t>不接受联合体参与本项目的比选。</w:t>
            </w:r>
            <w:r>
              <w:t>投标文件中提供《</w:t>
            </w:r>
            <w:r>
              <w:rPr>
                <w:rFonts w:hint="eastAsia"/>
              </w:rPr>
              <w:t>非联合体参加比选承诺函</w:t>
            </w:r>
            <w:r>
              <w:t>》，格式详见</w:t>
            </w:r>
            <w:r>
              <w:rPr>
                <w:rFonts w:hint="eastAsia"/>
                <w:lang w:eastAsia="zh-CN"/>
              </w:rPr>
              <w:t>比选公告</w:t>
            </w:r>
            <w:r>
              <w:t>附件。</w:t>
            </w:r>
          </w:p>
        </w:tc>
      </w:tr>
    </w:tbl>
    <w:p w14:paraId="2DC09E24">
      <w:pPr>
        <w:widowControl/>
        <w:jc w:val="left"/>
        <w:textAlignment w:val="top"/>
        <w:rPr>
          <w:rFonts w:ascii="仿宋" w:hAnsi="仿宋" w:eastAsia="仿宋" w:cs="宋体"/>
          <w:spacing w:val="15"/>
          <w:kern w:val="0"/>
          <w:szCs w:val="21"/>
        </w:rPr>
      </w:pPr>
    </w:p>
    <w:p w14:paraId="466BC723">
      <w:pPr>
        <w:widowControl/>
        <w:spacing w:line="360" w:lineRule="auto"/>
        <w:jc w:val="left"/>
        <w:textAlignment w:val="top"/>
        <w:rPr>
          <w:rFonts w:ascii="仿宋" w:hAnsi="仿宋" w:eastAsia="仿宋" w:cs="宋体"/>
          <w:spacing w:val="15"/>
          <w:kern w:val="0"/>
          <w:sz w:val="24"/>
        </w:rPr>
      </w:pPr>
    </w:p>
    <w:p w14:paraId="7C09F656">
      <w:pPr>
        <w:widowControl/>
        <w:spacing w:line="240" w:lineRule="auto"/>
        <w:rPr>
          <w:rFonts w:hint="eastAsia" w:ascii="仿宋" w:hAnsi="仿宋" w:eastAsia="仿宋" w:cs="黑体"/>
          <w:b/>
          <w:bCs/>
          <w:spacing w:val="15"/>
          <w:kern w:val="0"/>
          <w:sz w:val="24"/>
        </w:rPr>
      </w:pPr>
    </w:p>
    <w:p w14:paraId="183F809A">
      <w:pPr>
        <w:widowControl/>
        <w:spacing w:line="360" w:lineRule="auto"/>
        <w:rPr>
          <w:rFonts w:ascii="仿宋" w:hAnsi="仿宋" w:eastAsia="仿宋" w:cs="黑体"/>
          <w:b/>
          <w:bCs/>
          <w:spacing w:val="15"/>
          <w:kern w:val="0"/>
          <w:sz w:val="24"/>
        </w:rPr>
      </w:pPr>
      <w:r>
        <w:rPr>
          <w:rFonts w:hint="eastAsia" w:ascii="仿宋" w:hAnsi="仿宋" w:eastAsia="仿宋" w:cs="黑体"/>
          <w:b/>
          <w:bCs/>
          <w:spacing w:val="15"/>
          <w:kern w:val="0"/>
          <w:sz w:val="24"/>
        </w:rPr>
        <w:t>附表2</w:t>
      </w:r>
    </w:p>
    <w:p w14:paraId="277F9A26">
      <w:pPr>
        <w:widowControl/>
        <w:spacing w:line="360" w:lineRule="auto"/>
        <w:jc w:val="center"/>
        <w:rPr>
          <w:rFonts w:ascii="仿宋" w:hAnsi="仿宋" w:eastAsia="仿宋" w:cs="宋体"/>
          <w:spacing w:val="15"/>
          <w:kern w:val="0"/>
          <w:szCs w:val="21"/>
        </w:rPr>
      </w:pPr>
      <w:r>
        <w:rPr>
          <w:rFonts w:hint="eastAsia" w:ascii="仿宋" w:hAnsi="仿宋" w:eastAsia="仿宋" w:cs="宋体"/>
          <w:b/>
          <w:bCs/>
          <w:spacing w:val="15"/>
          <w:kern w:val="0"/>
          <w:sz w:val="32"/>
          <w:szCs w:val="32"/>
        </w:rPr>
        <w:t>符合性审查表</w:t>
      </w:r>
    </w:p>
    <w:tbl>
      <w:tblPr>
        <w:tblStyle w:val="19"/>
        <w:tblW w:w="8475" w:type="dxa"/>
        <w:jc w:val="center"/>
        <w:tblLayout w:type="fixed"/>
        <w:tblCellMar>
          <w:top w:w="15" w:type="dxa"/>
          <w:left w:w="15" w:type="dxa"/>
          <w:bottom w:w="15" w:type="dxa"/>
          <w:right w:w="15" w:type="dxa"/>
        </w:tblCellMar>
      </w:tblPr>
      <w:tblGrid>
        <w:gridCol w:w="760"/>
        <w:gridCol w:w="1533"/>
        <w:gridCol w:w="6182"/>
      </w:tblGrid>
      <w:tr w14:paraId="5A6473AC">
        <w:tblPrEx>
          <w:tblCellMar>
            <w:top w:w="15" w:type="dxa"/>
            <w:left w:w="15" w:type="dxa"/>
            <w:bottom w:w="15" w:type="dxa"/>
            <w:right w:w="15" w:type="dxa"/>
          </w:tblCellMar>
        </w:tblPrEx>
        <w:trPr>
          <w:trHeight w:val="520" w:hRule="atLeast"/>
          <w:jc w:val="center"/>
        </w:trPr>
        <w:tc>
          <w:tcPr>
            <w:tcW w:w="760" w:type="dxa"/>
            <w:vMerge w:val="restart"/>
            <w:tcBorders>
              <w:top w:val="single" w:color="000000" w:sz="4" w:space="0"/>
              <w:left w:val="single" w:color="000000" w:sz="4" w:space="0"/>
              <w:bottom w:val="single" w:color="000000" w:sz="4" w:space="0"/>
              <w:right w:val="single" w:color="000000" w:sz="4" w:space="0"/>
            </w:tcBorders>
            <w:noWrap/>
            <w:vAlign w:val="center"/>
          </w:tcPr>
          <w:p w14:paraId="6AB5E47E">
            <w:pPr>
              <w:widowControl/>
              <w:spacing w:line="360" w:lineRule="auto"/>
              <w:jc w:val="center"/>
              <w:textAlignment w:val="center"/>
              <w:rPr>
                <w:rFonts w:ascii="仿宋" w:hAnsi="仿宋" w:eastAsia="仿宋" w:cs="宋体"/>
                <w:b/>
                <w:bCs/>
                <w:szCs w:val="21"/>
              </w:rPr>
            </w:pPr>
            <w:r>
              <w:rPr>
                <w:rFonts w:hint="eastAsia" w:ascii="仿宋" w:hAnsi="仿宋" w:eastAsia="仿宋" w:cs="宋体"/>
                <w:b/>
                <w:bCs/>
                <w:kern w:val="0"/>
                <w:szCs w:val="21"/>
              </w:rPr>
              <w:t>序号</w:t>
            </w:r>
          </w:p>
        </w:tc>
        <w:tc>
          <w:tcPr>
            <w:tcW w:w="1533" w:type="dxa"/>
            <w:vMerge w:val="restart"/>
            <w:tcBorders>
              <w:top w:val="single" w:color="000000" w:sz="4" w:space="0"/>
              <w:left w:val="single" w:color="000000" w:sz="4" w:space="0"/>
              <w:bottom w:val="single" w:color="000000" w:sz="4" w:space="0"/>
              <w:right w:val="single" w:color="000000" w:sz="4" w:space="0"/>
            </w:tcBorders>
            <w:noWrap/>
            <w:vAlign w:val="center"/>
          </w:tcPr>
          <w:p w14:paraId="16E58645">
            <w:pPr>
              <w:widowControl/>
              <w:spacing w:line="360" w:lineRule="auto"/>
              <w:jc w:val="center"/>
              <w:textAlignment w:val="center"/>
              <w:rPr>
                <w:rFonts w:ascii="仿宋" w:hAnsi="仿宋" w:eastAsia="仿宋" w:cs="宋体"/>
                <w:b/>
                <w:bCs/>
                <w:szCs w:val="21"/>
              </w:rPr>
            </w:pPr>
            <w:r>
              <w:rPr>
                <w:rFonts w:hint="eastAsia" w:ascii="仿宋" w:hAnsi="仿宋" w:eastAsia="仿宋" w:cs="宋体"/>
                <w:b/>
                <w:bCs/>
                <w:szCs w:val="21"/>
              </w:rPr>
              <w:t>评审要点</w:t>
            </w:r>
          </w:p>
        </w:tc>
        <w:tc>
          <w:tcPr>
            <w:tcW w:w="6182" w:type="dxa"/>
            <w:vMerge w:val="restart"/>
            <w:tcBorders>
              <w:top w:val="single" w:color="000000" w:sz="4" w:space="0"/>
              <w:left w:val="single" w:color="000000" w:sz="4" w:space="0"/>
              <w:bottom w:val="single" w:color="000000" w:sz="4" w:space="0"/>
              <w:right w:val="single" w:color="000000" w:sz="4" w:space="0"/>
            </w:tcBorders>
            <w:noWrap/>
            <w:vAlign w:val="center"/>
          </w:tcPr>
          <w:p w14:paraId="479EFF5D">
            <w:pPr>
              <w:widowControl/>
              <w:spacing w:line="360" w:lineRule="auto"/>
              <w:jc w:val="center"/>
              <w:textAlignment w:val="center"/>
              <w:rPr>
                <w:rFonts w:ascii="仿宋" w:hAnsi="仿宋" w:eastAsia="仿宋" w:cs="宋体"/>
                <w:b/>
                <w:bCs/>
                <w:szCs w:val="21"/>
              </w:rPr>
            </w:pPr>
            <w:r>
              <w:rPr>
                <w:rFonts w:hint="eastAsia" w:ascii="仿宋" w:hAnsi="仿宋" w:eastAsia="仿宋" w:cs="宋体"/>
                <w:b/>
                <w:bCs/>
                <w:szCs w:val="21"/>
              </w:rPr>
              <w:t>评审内容</w:t>
            </w:r>
          </w:p>
        </w:tc>
      </w:tr>
      <w:tr w14:paraId="22A8A059">
        <w:tblPrEx>
          <w:tblCellMar>
            <w:top w:w="15" w:type="dxa"/>
            <w:left w:w="15" w:type="dxa"/>
            <w:bottom w:w="15" w:type="dxa"/>
            <w:right w:w="15" w:type="dxa"/>
          </w:tblCellMar>
        </w:tblPrEx>
        <w:trPr>
          <w:trHeight w:val="312" w:hRule="atLeast"/>
          <w:jc w:val="center"/>
        </w:trPr>
        <w:tc>
          <w:tcPr>
            <w:tcW w:w="760" w:type="dxa"/>
            <w:vMerge w:val="continue"/>
            <w:tcBorders>
              <w:top w:val="single" w:color="000000" w:sz="4" w:space="0"/>
              <w:left w:val="single" w:color="000000" w:sz="4" w:space="0"/>
              <w:bottom w:val="single" w:color="000000" w:sz="4" w:space="0"/>
              <w:right w:val="single" w:color="000000" w:sz="4" w:space="0"/>
            </w:tcBorders>
            <w:noWrap/>
            <w:vAlign w:val="center"/>
          </w:tcPr>
          <w:p w14:paraId="08B83FE7">
            <w:pPr>
              <w:spacing w:line="360" w:lineRule="auto"/>
              <w:jc w:val="center"/>
              <w:rPr>
                <w:rFonts w:ascii="仿宋" w:hAnsi="仿宋" w:eastAsia="仿宋" w:cs="宋体"/>
                <w:szCs w:val="21"/>
              </w:rPr>
            </w:pPr>
          </w:p>
        </w:tc>
        <w:tc>
          <w:tcPr>
            <w:tcW w:w="1533" w:type="dxa"/>
            <w:vMerge w:val="continue"/>
            <w:tcBorders>
              <w:top w:val="single" w:color="000000" w:sz="4" w:space="0"/>
              <w:left w:val="single" w:color="000000" w:sz="4" w:space="0"/>
              <w:bottom w:val="single" w:color="000000" w:sz="4" w:space="0"/>
              <w:right w:val="single" w:color="000000" w:sz="4" w:space="0"/>
            </w:tcBorders>
            <w:noWrap/>
            <w:vAlign w:val="center"/>
          </w:tcPr>
          <w:p w14:paraId="75AFFB79">
            <w:pPr>
              <w:spacing w:line="360" w:lineRule="auto"/>
              <w:jc w:val="center"/>
              <w:rPr>
                <w:rFonts w:ascii="仿宋" w:hAnsi="仿宋" w:eastAsia="仿宋" w:cs="宋体"/>
                <w:szCs w:val="21"/>
              </w:rPr>
            </w:pPr>
          </w:p>
        </w:tc>
        <w:tc>
          <w:tcPr>
            <w:tcW w:w="6182" w:type="dxa"/>
            <w:vMerge w:val="continue"/>
            <w:tcBorders>
              <w:top w:val="single" w:color="000000" w:sz="4" w:space="0"/>
              <w:left w:val="single" w:color="000000" w:sz="4" w:space="0"/>
              <w:bottom w:val="single" w:color="000000" w:sz="4" w:space="0"/>
              <w:right w:val="single" w:color="000000" w:sz="4" w:space="0"/>
            </w:tcBorders>
            <w:noWrap/>
            <w:vAlign w:val="center"/>
          </w:tcPr>
          <w:p w14:paraId="0AA44CDA">
            <w:pPr>
              <w:spacing w:line="360" w:lineRule="auto"/>
              <w:jc w:val="center"/>
              <w:rPr>
                <w:rFonts w:ascii="仿宋" w:hAnsi="仿宋" w:eastAsia="仿宋" w:cs="宋体"/>
                <w:szCs w:val="21"/>
              </w:rPr>
            </w:pPr>
          </w:p>
        </w:tc>
      </w:tr>
      <w:tr w14:paraId="51E1AB04">
        <w:tblPrEx>
          <w:tblCellMar>
            <w:top w:w="15" w:type="dxa"/>
            <w:left w:w="15" w:type="dxa"/>
            <w:bottom w:w="15" w:type="dxa"/>
            <w:right w:w="15" w:type="dxa"/>
          </w:tblCellMar>
        </w:tblPrEx>
        <w:trPr>
          <w:trHeight w:val="697" w:hRule="atLeast"/>
          <w:jc w:val="center"/>
        </w:trPr>
        <w:tc>
          <w:tcPr>
            <w:tcW w:w="760" w:type="dxa"/>
            <w:tcBorders>
              <w:top w:val="single" w:color="000000" w:sz="4" w:space="0"/>
              <w:left w:val="single" w:color="000000" w:sz="4" w:space="0"/>
              <w:bottom w:val="single" w:color="000000" w:sz="4" w:space="0"/>
              <w:right w:val="single" w:color="000000" w:sz="4" w:space="0"/>
            </w:tcBorders>
            <w:noWrap/>
            <w:vAlign w:val="center"/>
          </w:tcPr>
          <w:p w14:paraId="780E964F">
            <w:pPr>
              <w:widowControl/>
              <w:spacing w:line="360" w:lineRule="auto"/>
              <w:jc w:val="center"/>
              <w:textAlignment w:val="center"/>
              <w:rPr>
                <w:rFonts w:ascii="仿宋" w:hAnsi="仿宋" w:eastAsia="仿宋" w:cs="宋体"/>
                <w:szCs w:val="21"/>
              </w:rPr>
            </w:pPr>
            <w:r>
              <w:rPr>
                <w:rFonts w:hint="eastAsia" w:ascii="仿宋" w:hAnsi="仿宋" w:eastAsia="仿宋" w:cs="宋体"/>
                <w:kern w:val="0"/>
                <w:szCs w:val="21"/>
              </w:rPr>
              <w:t>1</w:t>
            </w:r>
          </w:p>
        </w:tc>
        <w:tc>
          <w:tcPr>
            <w:tcW w:w="1533" w:type="dxa"/>
            <w:tcBorders>
              <w:top w:val="single" w:color="000000" w:sz="4" w:space="0"/>
              <w:left w:val="single" w:color="000000" w:sz="4" w:space="0"/>
              <w:bottom w:val="single" w:color="000000" w:sz="4" w:space="0"/>
              <w:right w:val="single" w:color="000000" w:sz="4" w:space="0"/>
            </w:tcBorders>
            <w:noWrap/>
            <w:vAlign w:val="top"/>
          </w:tcPr>
          <w:p w14:paraId="34693749">
            <w:pPr>
              <w:pStyle w:val="44"/>
              <w:jc w:val="center"/>
              <w:rPr>
                <w:rFonts w:ascii="仿宋" w:hAnsi="仿宋" w:eastAsia="仿宋" w:cs="宋体"/>
                <w:szCs w:val="21"/>
              </w:rPr>
            </w:pPr>
            <w:r>
              <w:t>签署盖章</w:t>
            </w:r>
          </w:p>
        </w:tc>
        <w:tc>
          <w:tcPr>
            <w:tcW w:w="6182" w:type="dxa"/>
            <w:tcBorders>
              <w:top w:val="single" w:color="000000" w:sz="4" w:space="0"/>
              <w:left w:val="single" w:color="000000" w:sz="4" w:space="0"/>
              <w:bottom w:val="single" w:color="000000" w:sz="4" w:space="0"/>
              <w:right w:val="single" w:color="000000" w:sz="4" w:space="0"/>
            </w:tcBorders>
            <w:noWrap/>
            <w:vAlign w:val="top"/>
          </w:tcPr>
          <w:p w14:paraId="3440B3CA">
            <w:pPr>
              <w:pStyle w:val="44"/>
              <w:rPr>
                <w:rFonts w:ascii="仿宋" w:hAnsi="仿宋" w:eastAsia="仿宋" w:cs="宋体"/>
                <w:szCs w:val="21"/>
              </w:rPr>
            </w:pPr>
            <w:r>
              <w:t>按照</w:t>
            </w:r>
            <w:r>
              <w:rPr>
                <w:rFonts w:hint="eastAsia"/>
                <w:lang w:val="en-US" w:eastAsia="zh-CN"/>
              </w:rPr>
              <w:t>采购</w:t>
            </w:r>
            <w:r>
              <w:t>文件规定要求签署、盖章且</w:t>
            </w:r>
            <w:r>
              <w:rPr>
                <w:rFonts w:hint="eastAsia"/>
                <w:lang w:val="en-US" w:eastAsia="zh-CN"/>
              </w:rPr>
              <w:t>响应</w:t>
            </w:r>
            <w:r>
              <w:t>文件有法定代表人签字或盖个人名章（或签字人有法定代表人有效授权书）的；</w:t>
            </w:r>
          </w:p>
        </w:tc>
      </w:tr>
      <w:tr w14:paraId="5D3D22E4">
        <w:tblPrEx>
          <w:tblCellMar>
            <w:top w:w="15" w:type="dxa"/>
            <w:left w:w="15" w:type="dxa"/>
            <w:bottom w:w="15" w:type="dxa"/>
            <w:right w:w="15" w:type="dxa"/>
          </w:tblCellMar>
        </w:tblPrEx>
        <w:trPr>
          <w:trHeight w:val="1190" w:hRule="atLeast"/>
          <w:jc w:val="center"/>
        </w:trPr>
        <w:tc>
          <w:tcPr>
            <w:tcW w:w="760" w:type="dxa"/>
            <w:tcBorders>
              <w:top w:val="single" w:color="000000" w:sz="4" w:space="0"/>
              <w:left w:val="single" w:color="000000" w:sz="4" w:space="0"/>
              <w:bottom w:val="single" w:color="000000" w:sz="4" w:space="0"/>
              <w:right w:val="single" w:color="000000" w:sz="4" w:space="0"/>
            </w:tcBorders>
            <w:noWrap/>
            <w:vAlign w:val="center"/>
          </w:tcPr>
          <w:p w14:paraId="0F2C6351">
            <w:pPr>
              <w:widowControl/>
              <w:spacing w:line="360" w:lineRule="auto"/>
              <w:jc w:val="center"/>
              <w:textAlignment w:val="center"/>
              <w:rPr>
                <w:rFonts w:ascii="仿宋" w:hAnsi="仿宋" w:eastAsia="仿宋" w:cs="宋体"/>
                <w:szCs w:val="21"/>
              </w:rPr>
            </w:pPr>
            <w:r>
              <w:rPr>
                <w:rFonts w:hint="eastAsia" w:ascii="仿宋" w:hAnsi="仿宋" w:eastAsia="仿宋" w:cs="宋体"/>
                <w:szCs w:val="21"/>
              </w:rPr>
              <w:t>2</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30497936">
            <w:pPr>
              <w:jc w:val="left"/>
              <w:rPr>
                <w:rFonts w:asciiTheme="minorHAnsi" w:hAnsiTheme="minorHAnsi" w:eastAsiaTheme="minorEastAsia" w:cstheme="minorBidi"/>
                <w:szCs w:val="22"/>
              </w:rPr>
            </w:pPr>
            <w:r>
              <w:rPr>
                <w:rFonts w:hint="default" w:asciiTheme="minorHAnsi" w:hAnsiTheme="minorHAnsi" w:eastAsiaTheme="minorEastAsia" w:cstheme="minorBidi"/>
                <w:szCs w:val="22"/>
              </w:rPr>
              <w:t>响应文件的一致性</w:t>
            </w:r>
          </w:p>
        </w:tc>
        <w:tc>
          <w:tcPr>
            <w:tcW w:w="6182" w:type="dxa"/>
            <w:tcBorders>
              <w:top w:val="single" w:color="000000" w:sz="4" w:space="0"/>
              <w:left w:val="single" w:color="000000" w:sz="4" w:space="0"/>
              <w:bottom w:val="single" w:color="000000" w:sz="4" w:space="0"/>
              <w:right w:val="single" w:color="000000" w:sz="4" w:space="0"/>
            </w:tcBorders>
            <w:noWrap/>
            <w:vAlign w:val="center"/>
          </w:tcPr>
          <w:p w14:paraId="70A2C7AC">
            <w:pPr>
              <w:widowControl/>
              <w:jc w:val="left"/>
              <w:textAlignment w:val="auto"/>
              <w:rPr>
                <w:rFonts w:asciiTheme="minorHAnsi" w:hAnsiTheme="minorHAnsi" w:eastAsiaTheme="minorEastAsia" w:cstheme="minorBidi"/>
                <w:szCs w:val="22"/>
              </w:rPr>
            </w:pPr>
            <w:r>
              <w:rPr>
                <w:rFonts w:hint="default" w:asciiTheme="minorHAnsi" w:hAnsiTheme="minorHAnsi" w:eastAsiaTheme="minorEastAsia" w:cstheme="minorBidi"/>
                <w:kern w:val="2"/>
                <w:szCs w:val="22"/>
              </w:rPr>
              <w:t>响应人没有递交两份或多份内容不同的响应文件；没有在一份响应文件中对比选项目有两个或多个报价且未在响应文件中声明哪一个有效。</w:t>
            </w:r>
          </w:p>
        </w:tc>
      </w:tr>
      <w:tr w14:paraId="3E92EB4D">
        <w:tblPrEx>
          <w:tblCellMar>
            <w:top w:w="15" w:type="dxa"/>
            <w:left w:w="15" w:type="dxa"/>
            <w:bottom w:w="15" w:type="dxa"/>
            <w:right w:w="15" w:type="dxa"/>
          </w:tblCellMar>
        </w:tblPrEx>
        <w:trPr>
          <w:trHeight w:val="816" w:hRule="atLeast"/>
          <w:jc w:val="center"/>
        </w:trPr>
        <w:tc>
          <w:tcPr>
            <w:tcW w:w="760" w:type="dxa"/>
            <w:tcBorders>
              <w:top w:val="single" w:color="000000" w:sz="4" w:space="0"/>
              <w:left w:val="single" w:color="000000" w:sz="4" w:space="0"/>
              <w:bottom w:val="single" w:color="000000" w:sz="4" w:space="0"/>
              <w:right w:val="single" w:color="000000" w:sz="4" w:space="0"/>
            </w:tcBorders>
            <w:noWrap/>
            <w:vAlign w:val="center"/>
          </w:tcPr>
          <w:p w14:paraId="1E9C0069">
            <w:pPr>
              <w:widowControl/>
              <w:spacing w:line="360" w:lineRule="auto"/>
              <w:jc w:val="center"/>
              <w:textAlignment w:val="center"/>
              <w:rPr>
                <w:rFonts w:ascii="仿宋" w:hAnsi="仿宋" w:eastAsia="仿宋" w:cs="宋体"/>
                <w:szCs w:val="21"/>
              </w:rPr>
            </w:pPr>
            <w:r>
              <w:rPr>
                <w:rFonts w:hint="eastAsia" w:ascii="仿宋" w:hAnsi="仿宋" w:eastAsia="仿宋" w:cs="宋体"/>
                <w:szCs w:val="21"/>
              </w:rPr>
              <w:t>3</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2065C52E">
            <w:pPr>
              <w:jc w:val="left"/>
              <w:rPr>
                <w:rFonts w:asciiTheme="minorHAnsi" w:hAnsiTheme="minorHAnsi" w:eastAsiaTheme="minorEastAsia" w:cstheme="minorBidi"/>
                <w:szCs w:val="22"/>
              </w:rPr>
            </w:pPr>
            <w:r>
              <w:rPr>
                <w:rFonts w:hint="default" w:asciiTheme="minorHAnsi" w:hAnsiTheme="minorHAnsi" w:eastAsiaTheme="minorEastAsia" w:cstheme="minorBidi"/>
                <w:szCs w:val="22"/>
              </w:rPr>
              <w:t>响应范围</w:t>
            </w:r>
          </w:p>
        </w:tc>
        <w:tc>
          <w:tcPr>
            <w:tcW w:w="6182" w:type="dxa"/>
            <w:tcBorders>
              <w:top w:val="single" w:color="000000" w:sz="4" w:space="0"/>
              <w:left w:val="single" w:color="000000" w:sz="4" w:space="0"/>
              <w:bottom w:val="single" w:color="000000" w:sz="4" w:space="0"/>
              <w:right w:val="single" w:color="000000" w:sz="4" w:space="0"/>
            </w:tcBorders>
            <w:noWrap/>
            <w:vAlign w:val="center"/>
          </w:tcPr>
          <w:p w14:paraId="227DBA1D">
            <w:pPr>
              <w:widowControl/>
              <w:jc w:val="left"/>
              <w:textAlignment w:val="auto"/>
              <w:rPr>
                <w:rFonts w:asciiTheme="minorHAnsi" w:hAnsiTheme="minorHAnsi" w:eastAsiaTheme="minorEastAsia" w:cstheme="minorBidi"/>
                <w:szCs w:val="22"/>
              </w:rPr>
            </w:pPr>
            <w:r>
              <w:rPr>
                <w:rFonts w:hint="default" w:asciiTheme="minorHAnsi" w:hAnsiTheme="minorHAnsi" w:eastAsiaTheme="minorEastAsia" w:cstheme="minorBidi"/>
                <w:kern w:val="2"/>
                <w:szCs w:val="22"/>
              </w:rPr>
              <w:t>响应文件载明的响应范围已响应采购文件规定的招</w:t>
            </w:r>
            <w:bookmarkStart w:id="0" w:name="_GoBack"/>
            <w:bookmarkEnd w:id="0"/>
            <w:r>
              <w:rPr>
                <w:rFonts w:hint="default" w:asciiTheme="minorHAnsi" w:hAnsiTheme="minorHAnsi" w:eastAsiaTheme="minorEastAsia" w:cstheme="minorBidi"/>
                <w:kern w:val="2"/>
                <w:szCs w:val="22"/>
              </w:rPr>
              <w:t>标范围。</w:t>
            </w:r>
          </w:p>
        </w:tc>
      </w:tr>
      <w:tr w14:paraId="767E6C82">
        <w:tblPrEx>
          <w:tblCellMar>
            <w:top w:w="15" w:type="dxa"/>
            <w:left w:w="15" w:type="dxa"/>
            <w:bottom w:w="15" w:type="dxa"/>
            <w:right w:w="15" w:type="dxa"/>
          </w:tblCellMar>
        </w:tblPrEx>
        <w:trPr>
          <w:trHeight w:val="816" w:hRule="atLeast"/>
          <w:jc w:val="center"/>
        </w:trPr>
        <w:tc>
          <w:tcPr>
            <w:tcW w:w="760" w:type="dxa"/>
            <w:tcBorders>
              <w:top w:val="single" w:color="000000" w:sz="4" w:space="0"/>
              <w:left w:val="single" w:color="000000" w:sz="4" w:space="0"/>
              <w:bottom w:val="single" w:color="000000" w:sz="4" w:space="0"/>
              <w:right w:val="single" w:color="000000" w:sz="4" w:space="0"/>
            </w:tcBorders>
            <w:noWrap/>
            <w:vAlign w:val="center"/>
          </w:tcPr>
          <w:p w14:paraId="7EE193E1">
            <w:pPr>
              <w:widowControl/>
              <w:spacing w:line="360" w:lineRule="auto"/>
              <w:jc w:val="center"/>
              <w:textAlignment w:val="center"/>
              <w:rPr>
                <w:rFonts w:ascii="仿宋" w:hAnsi="仿宋" w:eastAsia="仿宋" w:cs="宋体"/>
                <w:szCs w:val="21"/>
              </w:rPr>
            </w:pPr>
            <w:r>
              <w:rPr>
                <w:rFonts w:hint="eastAsia" w:ascii="仿宋" w:hAnsi="仿宋" w:eastAsia="仿宋" w:cs="宋体"/>
                <w:szCs w:val="21"/>
              </w:rPr>
              <w:t>4</w:t>
            </w:r>
          </w:p>
        </w:tc>
        <w:tc>
          <w:tcPr>
            <w:tcW w:w="1533" w:type="dxa"/>
            <w:tcBorders>
              <w:top w:val="single" w:color="000000" w:sz="4" w:space="0"/>
              <w:left w:val="single" w:color="000000" w:sz="4" w:space="0"/>
              <w:bottom w:val="single" w:color="000000" w:sz="4" w:space="0"/>
              <w:right w:val="single" w:color="000000" w:sz="4" w:space="0"/>
            </w:tcBorders>
            <w:noWrap/>
            <w:vAlign w:val="center"/>
          </w:tcPr>
          <w:p w14:paraId="7E83DBFA">
            <w:pPr>
              <w:jc w:val="left"/>
              <w:rPr>
                <w:rFonts w:asciiTheme="minorHAnsi" w:hAnsiTheme="minorHAnsi" w:eastAsiaTheme="minorEastAsia" w:cstheme="minorBidi"/>
                <w:szCs w:val="22"/>
              </w:rPr>
            </w:pPr>
            <w:r>
              <w:rPr>
                <w:rFonts w:hint="default" w:asciiTheme="minorHAnsi" w:hAnsiTheme="minorHAnsi" w:eastAsiaTheme="minorEastAsia" w:cstheme="minorBidi"/>
                <w:szCs w:val="22"/>
              </w:rPr>
              <w:t>其  他</w:t>
            </w:r>
          </w:p>
        </w:tc>
        <w:tc>
          <w:tcPr>
            <w:tcW w:w="6182" w:type="dxa"/>
            <w:tcBorders>
              <w:top w:val="single" w:color="000000" w:sz="4" w:space="0"/>
              <w:left w:val="single" w:color="000000" w:sz="4" w:space="0"/>
              <w:bottom w:val="single" w:color="000000" w:sz="4" w:space="0"/>
              <w:right w:val="single" w:color="000000" w:sz="4" w:space="0"/>
            </w:tcBorders>
            <w:noWrap/>
            <w:vAlign w:val="center"/>
          </w:tcPr>
          <w:p w14:paraId="2A5B9526">
            <w:pPr>
              <w:widowControl/>
              <w:jc w:val="left"/>
              <w:textAlignment w:val="auto"/>
              <w:rPr>
                <w:rFonts w:asciiTheme="minorHAnsi" w:hAnsiTheme="minorHAnsi" w:eastAsiaTheme="minorEastAsia" w:cstheme="minorBidi"/>
                <w:szCs w:val="22"/>
              </w:rPr>
            </w:pPr>
            <w:r>
              <w:rPr>
                <w:rFonts w:hint="default" w:asciiTheme="minorHAnsi" w:hAnsiTheme="minorHAnsi" w:eastAsiaTheme="minorEastAsia" w:cstheme="minorBidi"/>
                <w:kern w:val="2"/>
                <w:szCs w:val="22"/>
              </w:rPr>
              <w:t>响应人不存在弄虚作假、违反国家法律、法规的及其他规定的。</w:t>
            </w:r>
          </w:p>
        </w:tc>
      </w:tr>
    </w:tbl>
    <w:p w14:paraId="48A61CD6">
      <w:pPr>
        <w:widowControl/>
        <w:spacing w:line="360" w:lineRule="auto"/>
        <w:jc w:val="left"/>
        <w:textAlignment w:val="top"/>
        <w:rPr>
          <w:rFonts w:ascii="仿宋" w:hAnsi="仿宋" w:eastAsia="仿宋" w:cs="宋体"/>
          <w:spacing w:val="15"/>
          <w:kern w:val="0"/>
          <w:sz w:val="24"/>
        </w:rPr>
        <w:sectPr>
          <w:pgSz w:w="11906" w:h="16838"/>
          <w:pgMar w:top="1985" w:right="1531" w:bottom="1871" w:left="1531" w:header="851" w:footer="992" w:gutter="0"/>
          <w:pgNumType w:fmt="numberInDash"/>
          <w:cols w:space="720" w:num="1"/>
          <w:docGrid w:type="lines" w:linePitch="312" w:charSpace="0"/>
        </w:sectPr>
      </w:pPr>
    </w:p>
    <w:p w14:paraId="0371046B">
      <w:pPr>
        <w:widowControl/>
        <w:adjustRightInd w:val="0"/>
        <w:snapToGrid w:val="0"/>
        <w:rPr>
          <w:rFonts w:ascii="仿宋" w:hAnsi="仿宋" w:eastAsia="仿宋" w:cs="黑体"/>
          <w:b/>
          <w:bCs/>
          <w:spacing w:val="15"/>
          <w:kern w:val="0"/>
          <w:sz w:val="24"/>
        </w:rPr>
      </w:pPr>
      <w:r>
        <w:rPr>
          <w:rFonts w:hint="eastAsia" w:ascii="仿宋" w:hAnsi="仿宋" w:eastAsia="仿宋" w:cs="黑体"/>
          <w:b/>
          <w:bCs/>
          <w:spacing w:val="15"/>
          <w:kern w:val="0"/>
          <w:sz w:val="24"/>
        </w:rPr>
        <w:t>附表3</w:t>
      </w:r>
    </w:p>
    <w:p w14:paraId="59B899DE">
      <w:pPr>
        <w:widowControl/>
        <w:adjustRightInd w:val="0"/>
        <w:snapToGrid w:val="0"/>
        <w:jc w:val="center"/>
        <w:rPr>
          <w:rFonts w:ascii="仿宋" w:hAnsi="仿宋" w:eastAsia="仿宋" w:cs="黑体"/>
          <w:b/>
          <w:bCs/>
          <w:spacing w:val="15"/>
          <w:kern w:val="0"/>
          <w:sz w:val="32"/>
          <w:szCs w:val="32"/>
        </w:rPr>
      </w:pPr>
      <w:r>
        <w:rPr>
          <w:rFonts w:hint="eastAsia" w:ascii="仿宋" w:hAnsi="仿宋" w:eastAsia="仿宋" w:cs="黑体"/>
          <w:b/>
          <w:bCs/>
          <w:spacing w:val="15"/>
          <w:kern w:val="0"/>
          <w:sz w:val="32"/>
          <w:szCs w:val="32"/>
        </w:rPr>
        <w:t>评分细则</w:t>
      </w:r>
    </w:p>
    <w:tbl>
      <w:tblPr>
        <w:tblStyle w:val="19"/>
        <w:tblpPr w:leftFromText="180" w:rightFromText="180" w:vertAnchor="text" w:horzAnchor="page" w:tblpX="1659" w:tblpY="371"/>
        <w:tblOverlap w:val="never"/>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33"/>
        <w:gridCol w:w="7202"/>
      </w:tblGrid>
      <w:tr w14:paraId="149711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33" w:type="dxa"/>
          </w:tcPr>
          <w:p w14:paraId="0B5F1A64">
            <w:pPr>
              <w:jc w:val="center"/>
            </w:pPr>
            <w:r>
              <w:t>评审</w:t>
            </w:r>
            <w:r>
              <w:rPr>
                <w:rFonts w:hint="eastAsia"/>
                <w:lang w:val="en-US" w:eastAsia="zh-CN"/>
              </w:rPr>
              <w:t>项目</w:t>
            </w:r>
          </w:p>
        </w:tc>
        <w:tc>
          <w:tcPr>
            <w:tcW w:w="7202" w:type="dxa"/>
          </w:tcPr>
          <w:p w14:paraId="114CC7DB">
            <w:pPr>
              <w:jc w:val="center"/>
              <w:rPr>
                <w:rFonts w:hint="default" w:eastAsiaTheme="minorEastAsia"/>
                <w:lang w:val="en-US" w:eastAsia="zh-CN"/>
              </w:rPr>
            </w:pPr>
            <w:r>
              <w:rPr>
                <w:rFonts w:hint="eastAsia"/>
                <w:lang w:val="en-US" w:eastAsia="zh-CN"/>
              </w:rPr>
              <w:t>评审标准</w:t>
            </w:r>
          </w:p>
        </w:tc>
      </w:tr>
      <w:tr w14:paraId="00A99B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33" w:type="dxa"/>
          </w:tcPr>
          <w:p w14:paraId="2CA81ECF">
            <w:pPr>
              <w:jc w:val="left"/>
            </w:pPr>
            <w:r>
              <w:t>食堂餐出品方案 (</w:t>
            </w:r>
            <w:r>
              <w:rPr>
                <w:rFonts w:hint="eastAsia"/>
                <w:lang w:val="en-US" w:eastAsia="zh-CN"/>
              </w:rPr>
              <w:t>15</w:t>
            </w:r>
            <w:r>
              <w:t>.0分</w:t>
            </w:r>
          </w:p>
        </w:tc>
        <w:tc>
          <w:tcPr>
            <w:tcW w:w="7202" w:type="dxa"/>
          </w:tcPr>
          <w:p w14:paraId="16C9697E">
            <w:pPr>
              <w:jc w:val="left"/>
            </w:pPr>
            <w:r>
              <w:t>根据</w:t>
            </w:r>
            <w:r>
              <w:rPr>
                <w:rFonts w:hint="eastAsia"/>
              </w:rPr>
              <w:t>响应</w:t>
            </w:r>
            <w:r>
              <w:t>人提供的食堂餐出品方案进行评审： 1)方案完善，出品类别丰富、全面、营养均衡优于采购需求中早、午餐出品要求，得1</w:t>
            </w:r>
            <w:r>
              <w:rPr>
                <w:rFonts w:hint="eastAsia"/>
                <w:lang w:val="en-US" w:eastAsia="zh-CN"/>
              </w:rPr>
              <w:t>5</w:t>
            </w:r>
            <w:r>
              <w:t>分； 2)方案较完善，较全面、平衡、适量；出品类别符合采购需求书中早、午餐出品要求，得</w:t>
            </w:r>
            <w:r>
              <w:rPr>
                <w:rFonts w:hint="eastAsia"/>
                <w:lang w:val="en-US" w:eastAsia="zh-CN"/>
              </w:rPr>
              <w:t>12</w:t>
            </w:r>
            <w:r>
              <w:t>分； 3)方案基本完善，基本平衡；出品类别基本符合采购需求中早、午餐出品要求，得</w:t>
            </w:r>
            <w:r>
              <w:rPr>
                <w:rFonts w:hint="eastAsia"/>
                <w:lang w:val="en-US" w:eastAsia="zh-CN"/>
              </w:rPr>
              <w:t>9</w:t>
            </w:r>
            <w:r>
              <w:t>分； 4)方案不完善，不全面、平衡、适量；出品类别不符合采购需求中早、午餐出品要求，得</w:t>
            </w:r>
            <w:r>
              <w:rPr>
                <w:rFonts w:hint="eastAsia"/>
                <w:lang w:val="en-US" w:eastAsia="zh-CN"/>
              </w:rPr>
              <w:t>5</w:t>
            </w:r>
            <w:r>
              <w:t>分； 5）不提供方案不得分。</w:t>
            </w:r>
          </w:p>
        </w:tc>
      </w:tr>
      <w:tr w14:paraId="6D9BC3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33" w:type="dxa"/>
          </w:tcPr>
          <w:p w14:paraId="310DAF86">
            <w:pPr>
              <w:jc w:val="left"/>
            </w:pPr>
            <w:r>
              <w:t>管理制度 (</w:t>
            </w:r>
            <w:r>
              <w:rPr>
                <w:rFonts w:hint="eastAsia"/>
                <w:lang w:val="en-US" w:eastAsia="zh-CN"/>
              </w:rPr>
              <w:t>15.</w:t>
            </w:r>
            <w:r>
              <w:t>0分)</w:t>
            </w:r>
          </w:p>
        </w:tc>
        <w:tc>
          <w:tcPr>
            <w:tcW w:w="7202" w:type="dxa"/>
          </w:tcPr>
          <w:p w14:paraId="444555B5">
            <w:pPr>
              <w:jc w:val="left"/>
            </w:pPr>
            <w:r>
              <w:t>根据</w:t>
            </w:r>
            <w:r>
              <w:rPr>
                <w:rFonts w:hint="eastAsia"/>
              </w:rPr>
              <w:t>响应</w:t>
            </w:r>
            <w:r>
              <w:t>人内部管理制度的完整性、工作质量控制措施、生产管理制度的科学性进行评审: 1）企业内部管理制度科学、</w:t>
            </w:r>
            <w:r>
              <w:rPr>
                <w:rFonts w:hint="eastAsia"/>
                <w:lang w:val="en-US" w:eastAsia="zh-CN"/>
              </w:rPr>
              <w:t>完整</w:t>
            </w:r>
            <w:r>
              <w:rPr>
                <w:rFonts w:hint="eastAsia"/>
                <w:lang w:eastAsia="zh-CN"/>
              </w:rPr>
              <w:t>，</w:t>
            </w:r>
            <w:r>
              <w:rPr>
                <w:rFonts w:hint="eastAsia"/>
                <w:lang w:val="en-US" w:eastAsia="zh-CN"/>
              </w:rPr>
              <w:t>可行性强，得15分</w:t>
            </w:r>
            <w:r>
              <w:t>；</w:t>
            </w:r>
            <w:r>
              <w:rPr>
                <w:rFonts w:hint="eastAsia"/>
                <w:lang w:val="en-US" w:eastAsia="zh-CN"/>
              </w:rPr>
              <w:t>2</w:t>
            </w:r>
            <w:r>
              <w:t>）企业内部管理制度</w:t>
            </w:r>
            <w:r>
              <w:rPr>
                <w:rFonts w:hint="eastAsia"/>
                <w:lang w:val="en-US" w:eastAsia="zh-CN"/>
              </w:rPr>
              <w:t>较</w:t>
            </w:r>
            <w:r>
              <w:t>科学</w:t>
            </w:r>
            <w:r>
              <w:rPr>
                <w:rFonts w:hint="eastAsia"/>
                <w:lang w:eastAsia="zh-CN"/>
              </w:rPr>
              <w:t>、</w:t>
            </w:r>
            <w:r>
              <w:t>完</w:t>
            </w:r>
            <w:r>
              <w:rPr>
                <w:rFonts w:hint="eastAsia"/>
                <w:lang w:val="en-US" w:eastAsia="zh-CN"/>
              </w:rPr>
              <w:t>整</w:t>
            </w:r>
            <w:r>
              <w:rPr>
                <w:rFonts w:hint="eastAsia"/>
                <w:lang w:eastAsia="zh-CN"/>
              </w:rPr>
              <w:t>，</w:t>
            </w:r>
            <w:r>
              <w:rPr>
                <w:rFonts w:hint="eastAsia"/>
                <w:lang w:val="en-US" w:eastAsia="zh-CN"/>
              </w:rPr>
              <w:t>有较强可行性，得12分</w:t>
            </w:r>
            <w:r>
              <w:t>；</w:t>
            </w:r>
            <w:r>
              <w:rPr>
                <w:rFonts w:hint="eastAsia"/>
                <w:lang w:val="en-US" w:eastAsia="zh-CN"/>
              </w:rPr>
              <w:t>3</w:t>
            </w:r>
            <w:r>
              <w:t>）企业管理制度</w:t>
            </w:r>
            <w:r>
              <w:rPr>
                <w:rFonts w:hint="eastAsia"/>
                <w:lang w:val="en-US" w:eastAsia="zh-CN"/>
              </w:rPr>
              <w:t>基本科学、完整，有一定可行性，</w:t>
            </w:r>
            <w:r>
              <w:t>得</w:t>
            </w:r>
            <w:r>
              <w:rPr>
                <w:rFonts w:hint="eastAsia"/>
                <w:lang w:val="en-US" w:eastAsia="zh-CN"/>
              </w:rPr>
              <w:t>9</w:t>
            </w:r>
            <w:r>
              <w:t xml:space="preserve">分； </w:t>
            </w:r>
            <w:r>
              <w:rPr>
                <w:rFonts w:hint="eastAsia"/>
                <w:lang w:val="en-US" w:eastAsia="zh-CN"/>
              </w:rPr>
              <w:t>4</w:t>
            </w:r>
            <w:r>
              <w:t>）企业管理制度</w:t>
            </w:r>
            <w:r>
              <w:rPr>
                <w:rFonts w:hint="eastAsia"/>
                <w:lang w:val="en-US" w:eastAsia="zh-CN"/>
              </w:rPr>
              <w:t>不科学、不完整，缺乏</w:t>
            </w:r>
            <w:r>
              <w:t>可行性得</w:t>
            </w:r>
            <w:r>
              <w:rPr>
                <w:rFonts w:hint="eastAsia"/>
                <w:lang w:val="en-US" w:eastAsia="zh-CN"/>
              </w:rPr>
              <w:t>6</w:t>
            </w:r>
            <w:r>
              <w:t xml:space="preserve">分； </w:t>
            </w:r>
            <w:r>
              <w:rPr>
                <w:rFonts w:hint="eastAsia"/>
                <w:lang w:val="en-US" w:eastAsia="zh-CN"/>
              </w:rPr>
              <w:t>5</w:t>
            </w:r>
            <w:r>
              <w:t>）不提供方案不得分。</w:t>
            </w:r>
          </w:p>
        </w:tc>
      </w:tr>
      <w:tr w14:paraId="74392E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33" w:type="dxa"/>
          </w:tcPr>
          <w:p w14:paraId="13900B0F">
            <w:pPr>
              <w:jc w:val="left"/>
            </w:pPr>
            <w:r>
              <w:t>项目实施方案 (</w:t>
            </w:r>
            <w:r>
              <w:rPr>
                <w:rFonts w:hint="eastAsia"/>
                <w:lang w:val="en-US" w:eastAsia="zh-CN"/>
              </w:rPr>
              <w:t>15</w:t>
            </w:r>
            <w:r>
              <w:t>.0分)</w:t>
            </w:r>
          </w:p>
        </w:tc>
        <w:tc>
          <w:tcPr>
            <w:tcW w:w="7202" w:type="dxa"/>
          </w:tcPr>
          <w:p w14:paraId="25C5888D">
            <w:pPr>
              <w:jc w:val="left"/>
            </w:pPr>
            <w:r>
              <w:t>根据</w:t>
            </w:r>
            <w:r>
              <w:rPr>
                <w:rFonts w:hint="eastAsia"/>
              </w:rPr>
              <w:t>响应</w:t>
            </w:r>
            <w:r>
              <w:t>人提供的项目实施方案进行评审： 1）方案完整、计划安排科学、合理可行，优于项目采购需求，得</w:t>
            </w:r>
            <w:r>
              <w:rPr>
                <w:rFonts w:hint="eastAsia"/>
                <w:lang w:val="en-US" w:eastAsia="zh-CN"/>
              </w:rPr>
              <w:t>15</w:t>
            </w:r>
            <w:r>
              <w:t>分； 2）方案较完整、计划安排较科学、较合理的，符合项目采购需求，得</w:t>
            </w:r>
            <w:r>
              <w:rPr>
                <w:rFonts w:hint="eastAsia"/>
                <w:lang w:val="en-US" w:eastAsia="zh-CN"/>
              </w:rPr>
              <w:t>12</w:t>
            </w:r>
            <w:r>
              <w:t>分； 3）方案基本完整、计划安排基本科学、基本合理</w:t>
            </w:r>
            <w:r>
              <w:rPr>
                <w:rFonts w:hint="eastAsia"/>
                <w:lang w:eastAsia="zh-CN"/>
              </w:rPr>
              <w:t>、</w:t>
            </w:r>
            <w:r>
              <w:t>基本符合项目采购需求，得</w:t>
            </w:r>
            <w:r>
              <w:rPr>
                <w:rFonts w:hint="eastAsia"/>
                <w:lang w:val="en-US" w:eastAsia="zh-CN"/>
              </w:rPr>
              <w:t>9</w:t>
            </w:r>
            <w:r>
              <w:t>分； 4）方案不完整、计划安排不科学、不太合理,不符合项目采购需求，得</w:t>
            </w:r>
            <w:r>
              <w:rPr>
                <w:rFonts w:hint="eastAsia"/>
                <w:lang w:val="en-US" w:eastAsia="zh-CN"/>
              </w:rPr>
              <w:t>6</w:t>
            </w:r>
            <w:r>
              <w:t>分； 5）不提供方案不得分。</w:t>
            </w:r>
          </w:p>
        </w:tc>
      </w:tr>
      <w:tr w14:paraId="0E4F6A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33" w:type="dxa"/>
          </w:tcPr>
          <w:p w14:paraId="62952127">
            <w:pPr>
              <w:jc w:val="left"/>
            </w:pPr>
            <w:r>
              <w:t>应急处理方案 (10.0分)</w:t>
            </w:r>
          </w:p>
        </w:tc>
        <w:tc>
          <w:tcPr>
            <w:tcW w:w="7202" w:type="dxa"/>
          </w:tcPr>
          <w:p w14:paraId="2CCD9753">
            <w:pPr>
              <w:jc w:val="left"/>
            </w:pPr>
            <w:r>
              <w:t>根据</w:t>
            </w:r>
            <w:r>
              <w:rPr>
                <w:rFonts w:hint="eastAsia"/>
              </w:rPr>
              <w:t>响应</w:t>
            </w:r>
            <w:r>
              <w:t>人对本项目应急事件处理预案，对疑似食物中毒事件的处理，对发生紧急事件善后措施方案进行评审： 1）方案设置合理、可行、更优，得10分； 2）方案设置较符合实际情况，比较合理、可行，得</w:t>
            </w:r>
            <w:r>
              <w:rPr>
                <w:rFonts w:hint="eastAsia"/>
                <w:lang w:val="en-US" w:eastAsia="zh-CN"/>
              </w:rPr>
              <w:t>8</w:t>
            </w:r>
            <w:r>
              <w:t>分； 3）方案设置基本符合实际情况，基本合理、可行，得</w:t>
            </w:r>
            <w:r>
              <w:rPr>
                <w:rFonts w:hint="eastAsia"/>
                <w:lang w:val="en-US" w:eastAsia="zh-CN"/>
              </w:rPr>
              <w:t>6</w:t>
            </w:r>
            <w:r>
              <w:t>分； 4）偏离本项目实际情况较大、缺乏可行性，得</w:t>
            </w:r>
            <w:r>
              <w:rPr>
                <w:rFonts w:hint="eastAsia"/>
                <w:lang w:val="en-US" w:eastAsia="zh-CN"/>
              </w:rPr>
              <w:t>3</w:t>
            </w:r>
            <w:r>
              <w:t>分； 5）不提供方案不得分。</w:t>
            </w:r>
          </w:p>
        </w:tc>
      </w:tr>
      <w:tr w14:paraId="690E92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33" w:type="dxa"/>
          </w:tcPr>
          <w:p w14:paraId="7F9B50CD">
            <w:pPr>
              <w:jc w:val="left"/>
            </w:pPr>
            <w:r>
              <w:t>同类项目业绩 (1</w:t>
            </w:r>
            <w:r>
              <w:rPr>
                <w:rFonts w:hint="eastAsia"/>
                <w:lang w:val="en-US" w:eastAsia="zh-CN"/>
              </w:rPr>
              <w:t>2</w:t>
            </w:r>
            <w:r>
              <w:t>.0分)</w:t>
            </w:r>
          </w:p>
        </w:tc>
        <w:tc>
          <w:tcPr>
            <w:tcW w:w="7202" w:type="dxa"/>
          </w:tcPr>
          <w:p w14:paraId="323BD0C5">
            <w:pPr>
              <w:jc w:val="left"/>
            </w:pPr>
            <w:r>
              <w:t>自202</w:t>
            </w:r>
            <w:r>
              <w:rPr>
                <w:rFonts w:hint="eastAsia"/>
                <w:lang w:eastAsia="zh-CN"/>
              </w:rPr>
              <w:t>3</w:t>
            </w:r>
            <w:r>
              <w:t>年1月1日至今（以合同签订时间为准），以</w:t>
            </w:r>
            <w:r>
              <w:rPr>
                <w:rFonts w:hint="eastAsia"/>
              </w:rPr>
              <w:t>响应</w:t>
            </w:r>
            <w:r>
              <w:t>人名义独立完成或正在实施的食堂管理类项目合同，每提供一份得</w:t>
            </w:r>
            <w:r>
              <w:rPr>
                <w:rFonts w:hint="eastAsia"/>
                <w:lang w:val="en-US" w:eastAsia="zh-CN"/>
              </w:rPr>
              <w:t>3</w:t>
            </w:r>
            <w:r>
              <w:t>分，最高得1</w:t>
            </w:r>
            <w:r>
              <w:rPr>
                <w:rFonts w:hint="eastAsia"/>
                <w:lang w:val="en-US" w:eastAsia="zh-CN"/>
              </w:rPr>
              <w:t>2</w:t>
            </w:r>
            <w:r>
              <w:t>分。 注：须提供合同关键页（包括项目名称、签约时间、合同内容、签字盖章页等）扫描件并加盖</w:t>
            </w:r>
            <w:r>
              <w:rPr>
                <w:rFonts w:hint="eastAsia"/>
              </w:rPr>
              <w:t>响应</w:t>
            </w:r>
            <w:r>
              <w:t>人公章，否则不得分。</w:t>
            </w:r>
          </w:p>
        </w:tc>
      </w:tr>
      <w:tr w14:paraId="03E5A1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59" w:hRule="atLeast"/>
        </w:trPr>
        <w:tc>
          <w:tcPr>
            <w:tcW w:w="1933" w:type="dxa"/>
          </w:tcPr>
          <w:p w14:paraId="422DD0BB">
            <w:pPr>
              <w:jc w:val="left"/>
              <w:rPr>
                <w:rFonts w:hint="default" w:eastAsiaTheme="minorEastAsia"/>
                <w:lang w:val="en-US" w:eastAsia="zh-CN"/>
              </w:rPr>
            </w:pPr>
            <w:r>
              <w:rPr>
                <w:rFonts w:hint="eastAsia"/>
                <w:lang w:val="en-US" w:eastAsia="zh-CN"/>
              </w:rPr>
              <w:t>管理体系认证情况（7分）</w:t>
            </w:r>
          </w:p>
        </w:tc>
        <w:tc>
          <w:tcPr>
            <w:tcW w:w="7202" w:type="dxa"/>
          </w:tcPr>
          <w:p w14:paraId="3C85E4E7">
            <w:pPr>
              <w:numPr>
                <w:ilvl w:val="0"/>
                <w:numId w:val="8"/>
              </w:numPr>
              <w:jc w:val="left"/>
              <w:rPr>
                <w:rFonts w:hint="eastAsia"/>
                <w:lang w:eastAsia="zh-CN"/>
              </w:rPr>
            </w:pPr>
            <w:r>
              <w:rPr>
                <w:rFonts w:hint="eastAsia"/>
                <w:lang w:val="en-US" w:eastAsia="zh-CN"/>
              </w:rPr>
              <w:t>响应人</w:t>
            </w:r>
            <w:r>
              <w:t>具有有效的食品安全管理体系认证证书，得</w:t>
            </w:r>
            <w:r>
              <w:rPr>
                <w:rFonts w:hint="eastAsia"/>
                <w:lang w:val="en-US" w:eastAsia="zh-CN"/>
              </w:rPr>
              <w:t>2</w:t>
            </w:r>
            <w:r>
              <w:t>分；2.</w:t>
            </w:r>
            <w:r>
              <w:rPr>
                <w:rFonts w:hint="eastAsia"/>
                <w:lang w:val="en-US" w:eastAsia="zh-CN"/>
              </w:rPr>
              <w:t>响应人</w:t>
            </w:r>
            <w:r>
              <w:t>具有有效的质量管理体系认证证书，得</w:t>
            </w:r>
            <w:r>
              <w:rPr>
                <w:rFonts w:hint="eastAsia"/>
                <w:lang w:val="en-US" w:eastAsia="zh-CN"/>
              </w:rPr>
              <w:t>2</w:t>
            </w:r>
            <w:r>
              <w:t>分</w:t>
            </w:r>
            <w:r>
              <w:rPr>
                <w:rFonts w:hint="eastAsia"/>
                <w:lang w:eastAsia="zh-CN"/>
              </w:rPr>
              <w:t>；3.响应人具有有效的危害分析与关键控制点HACCP认证证书，得3分。</w:t>
            </w:r>
          </w:p>
          <w:p w14:paraId="6E1EB3BD">
            <w:pPr>
              <w:numPr>
                <w:ilvl w:val="-1"/>
                <w:numId w:val="0"/>
              </w:numPr>
              <w:jc w:val="left"/>
              <w:rPr>
                <w:rFonts w:hint="default" w:eastAsiaTheme="minorEastAsia"/>
                <w:lang w:val="en-US" w:eastAsia="zh-CN"/>
              </w:rPr>
            </w:pPr>
            <w:r>
              <w:t>注：须同时提供认证证书复印件和国家认证认可监督管理部门网站</w:t>
            </w:r>
            <w:r>
              <w:rPr>
                <w:rFonts w:hint="eastAsia"/>
                <w:lang w:val="en-US" w:eastAsia="zh-CN"/>
              </w:rPr>
              <w:t>(</w:t>
            </w:r>
            <w:r>
              <w:t>http://www.cnca.gov.cn/</w:t>
            </w:r>
            <w:r>
              <w:rPr>
                <w:rFonts w:hint="eastAsia"/>
                <w:lang w:val="en-US" w:eastAsia="zh-CN"/>
              </w:rPr>
              <w:t>)</w:t>
            </w:r>
            <w:r>
              <w:t>查询</w:t>
            </w:r>
            <w:r>
              <w:rPr>
                <w:rFonts w:hint="eastAsia"/>
                <w:lang w:val="en-US" w:eastAsia="zh-CN"/>
              </w:rPr>
              <w:t>结果</w:t>
            </w:r>
            <w:r>
              <w:t>截图并加盖响应</w:t>
            </w:r>
            <w:r>
              <w:rPr>
                <w:rFonts w:hint="eastAsia"/>
                <w:lang w:val="en-US" w:eastAsia="zh-CN"/>
              </w:rPr>
              <w:t>人</w:t>
            </w:r>
            <w:r>
              <w:t>公章</w:t>
            </w:r>
            <w:r>
              <w:rPr>
                <w:rFonts w:hint="eastAsia"/>
                <w:lang w:eastAsia="zh-CN"/>
              </w:rPr>
              <w:t>，</w:t>
            </w:r>
            <w:r>
              <w:rPr>
                <w:rFonts w:hint="eastAsia"/>
                <w:lang w:val="en-US" w:eastAsia="zh-CN"/>
              </w:rPr>
              <w:t>否则不得分。</w:t>
            </w:r>
          </w:p>
        </w:tc>
      </w:tr>
      <w:tr w14:paraId="3C5057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33" w:type="dxa"/>
          </w:tcPr>
          <w:p w14:paraId="0019CAF4">
            <w:pPr>
              <w:jc w:val="left"/>
              <w:rPr>
                <w:rFonts w:hint="default" w:eastAsiaTheme="minorEastAsia"/>
                <w:lang w:val="en-US" w:eastAsia="zh-CN"/>
              </w:rPr>
            </w:pPr>
            <w:r>
              <w:rPr>
                <w:rFonts w:hint="eastAsia"/>
                <w:lang w:val="en-US" w:eastAsia="zh-CN"/>
              </w:rPr>
              <w:t>食品安全险（6分）</w:t>
            </w:r>
          </w:p>
        </w:tc>
        <w:tc>
          <w:tcPr>
            <w:tcW w:w="7202" w:type="dxa"/>
          </w:tcPr>
          <w:p w14:paraId="3CB3C791">
            <w:pPr>
              <w:jc w:val="left"/>
              <w:rPr>
                <w:rFonts w:hint="default" w:eastAsiaTheme="minorEastAsia"/>
                <w:lang w:val="en-US" w:eastAsia="zh-CN"/>
              </w:rPr>
            </w:pPr>
            <w:r>
              <w:t>根据</w:t>
            </w:r>
            <w:r>
              <w:rPr>
                <w:rFonts w:hint="eastAsia"/>
                <w:lang w:val="en-US" w:eastAsia="zh-CN"/>
              </w:rPr>
              <w:t>响应人承诺为本项目购买有效</w:t>
            </w:r>
            <w:r>
              <w:t>食品安全责任保险情况进行评分： 1.</w:t>
            </w:r>
            <w:r>
              <w:rPr>
                <w:rFonts w:hint="eastAsia"/>
                <w:lang w:val="en-US" w:eastAsia="zh-CN"/>
              </w:rPr>
              <w:t>保额大于或等于</w:t>
            </w:r>
            <w:r>
              <w:t>人民币</w:t>
            </w:r>
            <w:r>
              <w:rPr>
                <w:rFonts w:hint="eastAsia"/>
                <w:lang w:val="en-US" w:eastAsia="zh-CN"/>
              </w:rPr>
              <w:t>1</w:t>
            </w:r>
            <w:r>
              <w:t>000万元的得</w:t>
            </w:r>
            <w:r>
              <w:rPr>
                <w:rFonts w:hint="eastAsia"/>
                <w:lang w:val="en-US" w:eastAsia="zh-CN"/>
              </w:rPr>
              <w:t>6</w:t>
            </w:r>
            <w:r>
              <w:t>分；2.</w:t>
            </w:r>
            <w:r>
              <w:rPr>
                <w:rFonts w:hint="eastAsia"/>
                <w:lang w:val="en-US" w:eastAsia="zh-CN"/>
              </w:rPr>
              <w:t>保额小于1000万元且大于等于500万元的得4分，3</w:t>
            </w:r>
            <w:r>
              <w:t>.</w:t>
            </w:r>
            <w:r>
              <w:rPr>
                <w:rFonts w:hint="eastAsia"/>
                <w:lang w:val="en-US" w:eastAsia="zh-CN"/>
              </w:rPr>
              <w:t>保额小于500万元的得2分；4.没有的不得分。注：</w:t>
            </w:r>
            <w:r>
              <w:t>提供承诺函加盖</w:t>
            </w:r>
            <w:r>
              <w:rPr>
                <w:rFonts w:hint="eastAsia"/>
                <w:lang w:val="en-US" w:eastAsia="zh-CN"/>
              </w:rPr>
              <w:t>响应人</w:t>
            </w:r>
            <w:r>
              <w:t>公章，承诺函格式</w:t>
            </w:r>
            <w:r>
              <w:rPr>
                <w:rFonts w:hint="eastAsia"/>
                <w:lang w:val="en-US" w:eastAsia="zh-CN"/>
              </w:rPr>
              <w:t>自拟，</w:t>
            </w:r>
          </w:p>
        </w:tc>
      </w:tr>
      <w:tr w14:paraId="67E7D0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33" w:type="dxa"/>
          </w:tcPr>
          <w:p w14:paraId="2E500D71">
            <w:pPr>
              <w:jc w:val="left"/>
            </w:pPr>
            <w:r>
              <w:t>投入本项目人员情况 (1</w:t>
            </w:r>
            <w:r>
              <w:rPr>
                <w:rFonts w:hint="eastAsia"/>
                <w:lang w:val="en-US" w:eastAsia="zh-CN"/>
              </w:rPr>
              <w:t>0</w:t>
            </w:r>
            <w:r>
              <w:t>.0分)</w:t>
            </w:r>
          </w:p>
        </w:tc>
        <w:tc>
          <w:tcPr>
            <w:tcW w:w="7202" w:type="dxa"/>
          </w:tcPr>
          <w:p w14:paraId="61513506">
            <w:pPr>
              <w:jc w:val="left"/>
            </w:pPr>
            <w:r>
              <w:t>根据</w:t>
            </w:r>
            <w:r>
              <w:rPr>
                <w:rFonts w:hint="eastAsia"/>
              </w:rPr>
              <w:t>响应</w:t>
            </w:r>
            <w:r>
              <w:t xml:space="preserve">人投入本项目的人员经验等作综合评价： </w:t>
            </w:r>
            <w:r>
              <w:rPr>
                <w:rFonts w:hint="eastAsia"/>
              </w:rPr>
              <w:t>1、投入人员具有三级(高级)中式烹调师技能证书，每提供一个得3分；投入人员具有四级(中级)中式烹调师技能证书，每提供一个得2分</w:t>
            </w:r>
            <w:r>
              <w:rPr>
                <w:rFonts w:hint="eastAsia"/>
                <w:lang w:eastAsia="zh-CN"/>
              </w:rPr>
              <w:t>，</w:t>
            </w:r>
            <w:r>
              <w:rPr>
                <w:rFonts w:hint="eastAsia"/>
                <w:lang w:val="en-US" w:eastAsia="zh-CN"/>
              </w:rPr>
              <w:t>本小项最高得分5分</w:t>
            </w:r>
            <w:r>
              <w:rPr>
                <w:rFonts w:hint="eastAsia"/>
              </w:rPr>
              <w:t>；</w:t>
            </w:r>
            <w:r>
              <w:rPr>
                <w:rFonts w:hint="eastAsia"/>
                <w:lang w:val="en-US" w:eastAsia="zh-CN"/>
              </w:rPr>
              <w:t>2、</w:t>
            </w:r>
            <w:r>
              <w:rPr>
                <w:rFonts w:hint="eastAsia"/>
              </w:rPr>
              <w:t>投入人员具有高级营养师证，每提供一个得</w:t>
            </w:r>
            <w:r>
              <w:rPr>
                <w:rFonts w:hint="eastAsia"/>
                <w:lang w:val="en-US" w:eastAsia="zh-CN"/>
              </w:rPr>
              <w:t>2</w:t>
            </w:r>
            <w:r>
              <w:rPr>
                <w:rFonts w:hint="eastAsia"/>
              </w:rPr>
              <w:t>分，投入人员具有</w:t>
            </w:r>
            <w:r>
              <w:rPr>
                <w:rFonts w:hint="eastAsia"/>
                <w:lang w:val="en-US" w:eastAsia="zh-CN"/>
              </w:rPr>
              <w:t>中</w:t>
            </w:r>
            <w:r>
              <w:rPr>
                <w:rFonts w:hint="eastAsia"/>
              </w:rPr>
              <w:t>级营养师证</w:t>
            </w:r>
            <w:r>
              <w:rPr>
                <w:rFonts w:hint="eastAsia"/>
                <w:lang w:val="en-US" w:eastAsia="zh-CN"/>
              </w:rPr>
              <w:t>的，</w:t>
            </w:r>
            <w:r>
              <w:rPr>
                <w:rFonts w:hint="eastAsia"/>
              </w:rPr>
              <w:t>每提供一个得</w:t>
            </w:r>
            <w:r>
              <w:rPr>
                <w:rFonts w:hint="eastAsia"/>
                <w:lang w:val="en-US" w:eastAsia="zh-CN"/>
              </w:rPr>
              <w:t>1</w:t>
            </w:r>
            <w:r>
              <w:rPr>
                <w:rFonts w:hint="eastAsia"/>
              </w:rPr>
              <w:t>分</w:t>
            </w:r>
            <w:r>
              <w:rPr>
                <w:rFonts w:hint="eastAsia"/>
                <w:lang w:eastAsia="zh-CN"/>
              </w:rPr>
              <w:t>，</w:t>
            </w:r>
            <w:r>
              <w:rPr>
                <w:rFonts w:hint="eastAsia"/>
              </w:rPr>
              <w:t>本小项最高得</w:t>
            </w:r>
            <w:r>
              <w:rPr>
                <w:rFonts w:hint="eastAsia"/>
                <w:lang w:val="en-US" w:eastAsia="zh-CN"/>
              </w:rPr>
              <w:t>2</w:t>
            </w:r>
            <w:r>
              <w:rPr>
                <w:rFonts w:hint="eastAsia"/>
              </w:rPr>
              <w:t>分。</w:t>
            </w:r>
            <w:r>
              <w:rPr>
                <w:rFonts w:hint="eastAsia"/>
                <w:lang w:val="en-US" w:eastAsia="zh-CN"/>
              </w:rPr>
              <w:t>3</w:t>
            </w:r>
            <w:r>
              <w:rPr>
                <w:rFonts w:hint="eastAsia"/>
              </w:rPr>
              <w:t>、投入的人员具有高级食品安全管理人员考试合格证明，每提供1</w:t>
            </w:r>
            <w:r>
              <w:rPr>
                <w:rFonts w:hint="eastAsia"/>
                <w:lang w:val="en-US" w:eastAsia="zh-CN"/>
              </w:rPr>
              <w:t>个</w:t>
            </w:r>
            <w:r>
              <w:rPr>
                <w:rFonts w:hint="eastAsia"/>
              </w:rPr>
              <w:t>得2分；投入的人员具有中级食品安全管理人员考试合格证明，每提供1</w:t>
            </w:r>
            <w:r>
              <w:rPr>
                <w:rFonts w:hint="eastAsia"/>
                <w:lang w:val="en-US" w:eastAsia="zh-CN"/>
              </w:rPr>
              <w:t>个得</w:t>
            </w:r>
            <w:r>
              <w:rPr>
                <w:rFonts w:hint="eastAsia"/>
              </w:rPr>
              <w:t>1分</w:t>
            </w:r>
            <w:r>
              <w:rPr>
                <w:rFonts w:hint="eastAsia"/>
                <w:lang w:eastAsia="zh-CN"/>
              </w:rPr>
              <w:t>，</w:t>
            </w:r>
            <w:r>
              <w:rPr>
                <w:rFonts w:hint="eastAsia"/>
              </w:rPr>
              <w:t>本小项最高得</w:t>
            </w:r>
            <w:r>
              <w:rPr>
                <w:rFonts w:hint="eastAsia"/>
                <w:lang w:val="en-US" w:eastAsia="zh-CN"/>
              </w:rPr>
              <w:t>3</w:t>
            </w:r>
            <w:r>
              <w:rPr>
                <w:rFonts w:hint="eastAsia"/>
              </w:rPr>
              <w:t>分。</w:t>
            </w:r>
            <w:r>
              <w:t xml:space="preserve"> 注：须提供上述人员职称证书</w:t>
            </w:r>
            <w:r>
              <w:rPr>
                <w:rFonts w:hint="eastAsia"/>
                <w:lang w:eastAsia="zh-CN"/>
              </w:rPr>
              <w:t>（</w:t>
            </w:r>
            <w:r>
              <w:rPr>
                <w:rFonts w:hint="eastAsia"/>
                <w:lang w:val="en-US" w:eastAsia="zh-CN"/>
              </w:rPr>
              <w:t>或考试合格证明）</w:t>
            </w:r>
            <w:r>
              <w:t>扫描件及</w:t>
            </w:r>
            <w:r>
              <w:rPr>
                <w:rFonts w:hint="eastAsia"/>
              </w:rPr>
              <w:t>响应</w:t>
            </w:r>
            <w:r>
              <w:t>人为其投保的</w:t>
            </w:r>
            <w:r>
              <w:rPr>
                <w:rFonts w:hint="eastAsia"/>
                <w:lang w:val="en-US" w:eastAsia="zh-CN"/>
              </w:rPr>
              <w:t>2026</w:t>
            </w:r>
            <w:r>
              <w:t>年任意1个月的社保参保证明文件扫描件并加盖</w:t>
            </w:r>
            <w:r>
              <w:rPr>
                <w:rFonts w:hint="eastAsia"/>
              </w:rPr>
              <w:t>响应</w:t>
            </w:r>
            <w:r>
              <w:t>人公章。</w:t>
            </w:r>
          </w:p>
        </w:tc>
      </w:tr>
      <w:tr w14:paraId="2FC588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33" w:type="dxa"/>
          </w:tcPr>
          <w:p w14:paraId="61C4DF7F">
            <w:pPr>
              <w:jc w:val="left"/>
            </w:pPr>
            <w:r>
              <w:rPr>
                <w:highlight w:val="none"/>
              </w:rPr>
              <w:t>报价得分 (1</w:t>
            </w:r>
            <w:r>
              <w:rPr>
                <w:rFonts w:hint="eastAsia"/>
                <w:highlight w:val="none"/>
                <w:lang w:val="en-US" w:eastAsia="zh-CN"/>
              </w:rPr>
              <w:t>0.</w:t>
            </w:r>
            <w:r>
              <w:rPr>
                <w:highlight w:val="none"/>
              </w:rPr>
              <w:t>.0分)</w:t>
            </w:r>
          </w:p>
        </w:tc>
        <w:tc>
          <w:tcPr>
            <w:tcW w:w="7202" w:type="dxa"/>
          </w:tcPr>
          <w:p w14:paraId="49A6081D">
            <w:pPr>
              <w:jc w:val="left"/>
            </w:pPr>
            <w:r>
              <w:rPr>
                <w:rFonts w:hint="eastAsia"/>
                <w:highlight w:val="none"/>
                <w:lang w:val="en-US" w:eastAsia="zh-CN"/>
              </w:rPr>
              <w:t>项目</w:t>
            </w:r>
            <w:r>
              <w:rPr>
                <w:rFonts w:hint="eastAsia"/>
                <w:highlight w:val="none"/>
              </w:rPr>
              <w:t>报</w:t>
            </w:r>
            <w:r>
              <w:rPr>
                <w:highlight w:val="none"/>
              </w:rPr>
              <w:t>价得分＝（评</w:t>
            </w:r>
            <w:r>
              <w:rPr>
                <w:rFonts w:hint="default"/>
                <w:highlight w:val="none"/>
              </w:rPr>
              <w:t>选</w:t>
            </w:r>
            <w:r>
              <w:rPr>
                <w:highlight w:val="none"/>
              </w:rPr>
              <w:t>基准价/</w:t>
            </w:r>
            <w:r>
              <w:rPr>
                <w:rFonts w:hint="default"/>
                <w:highlight w:val="none"/>
              </w:rPr>
              <w:t>响应</w:t>
            </w:r>
            <w:r>
              <w:rPr>
                <w:highlight w:val="none"/>
              </w:rPr>
              <w:t>报价）×价格分值</w:t>
            </w:r>
            <w:r>
              <w:t>【</w:t>
            </w:r>
            <w:r>
              <w:rPr>
                <w:rFonts w:hint="eastAsia"/>
              </w:rPr>
              <w:t>注：满足采购文件要求且“折扣系数”报价最低的为评选基准价。如：响应报价折扣系数</w:t>
            </w:r>
            <w:r>
              <w:t>90%为报价最低，评</w:t>
            </w:r>
            <w:r>
              <w:rPr>
                <w:rFonts w:hint="eastAsia"/>
              </w:rPr>
              <w:t>选</w:t>
            </w:r>
            <w:r>
              <w:t>基准价为90%，得满分 1</w:t>
            </w:r>
            <w:r>
              <w:rPr>
                <w:rFonts w:hint="eastAsia"/>
                <w:lang w:val="en-US" w:eastAsia="zh-CN"/>
              </w:rPr>
              <w:t>0</w:t>
            </w:r>
            <w:r>
              <w:t xml:space="preserve"> 分。】</w:t>
            </w:r>
          </w:p>
        </w:tc>
      </w:tr>
    </w:tbl>
    <w:p w14:paraId="74DD7209">
      <w:pPr>
        <w:spacing w:line="360" w:lineRule="auto"/>
        <w:rPr>
          <w:rFonts w:ascii="仿宋" w:hAnsi="仿宋" w:eastAsia="仿宋"/>
        </w:rPr>
      </w:pPr>
    </w:p>
    <w:p w14:paraId="6EAE8892">
      <w:pPr>
        <w:widowControl/>
        <w:adjustRightInd/>
        <w:snapToGrid/>
        <w:rPr>
          <w:rFonts w:hint="eastAsia" w:ascii="仿宋" w:hAnsi="仿宋" w:eastAsia="仿宋" w:cs="黑体"/>
          <w:b/>
          <w:bCs/>
          <w:spacing w:val="15"/>
          <w:kern w:val="0"/>
          <w:sz w:val="24"/>
          <w:lang w:eastAsia="zh-CN"/>
        </w:rPr>
      </w:pPr>
      <w:r>
        <w:rPr>
          <w:rFonts w:hint="eastAsia" w:ascii="仿宋" w:hAnsi="仿宋" w:eastAsia="仿宋" w:cs="黑体"/>
          <w:b/>
          <w:bCs/>
          <w:spacing w:val="15"/>
          <w:kern w:val="0"/>
          <w:sz w:val="24"/>
        </w:rPr>
        <w:t>附表</w:t>
      </w:r>
      <w:r>
        <w:rPr>
          <w:rFonts w:hint="eastAsia" w:ascii="仿宋" w:hAnsi="仿宋" w:eastAsia="仿宋" w:cs="黑体"/>
          <w:b/>
          <w:bCs/>
          <w:spacing w:val="15"/>
          <w:kern w:val="0"/>
          <w:sz w:val="24"/>
          <w:lang w:val="en-US" w:eastAsia="zh-CN"/>
        </w:rPr>
        <w:t>4</w:t>
      </w:r>
    </w:p>
    <w:p w14:paraId="7F5C94FB">
      <w:pPr>
        <w:jc w:val="center"/>
      </w:pPr>
      <w:r>
        <w:rPr>
          <w:rFonts w:hint="eastAsia"/>
          <w:sz w:val="36"/>
          <w:lang w:val="en-US" w:eastAsia="zh-CN"/>
        </w:rPr>
        <w:t xml:space="preserve"> </w:t>
      </w:r>
      <w:r>
        <w:rPr>
          <w:rFonts w:hint="eastAsia" w:ascii="黑体" w:hAnsi="黑体" w:eastAsia="黑体" w:cs="黑体"/>
          <w:sz w:val="32"/>
          <w:szCs w:val="32"/>
        </w:rPr>
        <w:t>考核评分表</w:t>
      </w:r>
    </w:p>
    <w:p w14:paraId="39868C90">
      <w:pPr>
        <w:spacing w:line="78" w:lineRule="exact"/>
      </w:pPr>
    </w:p>
    <w:tbl>
      <w:tblPr>
        <w:tblStyle w:val="19"/>
        <w:tblW w:w="93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4"/>
        <w:gridCol w:w="1338"/>
        <w:gridCol w:w="3836"/>
        <w:gridCol w:w="749"/>
        <w:gridCol w:w="1908"/>
        <w:gridCol w:w="704"/>
      </w:tblGrid>
      <w:tr w14:paraId="4B9B3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5" w:hRule="atLeast"/>
        </w:trPr>
        <w:tc>
          <w:tcPr>
            <w:tcW w:w="774" w:type="dxa"/>
            <w:shd w:val="clear" w:color="auto" w:fill="CCD5E1"/>
            <w:noWrap w:val="0"/>
            <w:vAlign w:val="top"/>
          </w:tcPr>
          <w:p w14:paraId="603A8A0D">
            <w:pPr>
              <w:pStyle w:val="43"/>
              <w:spacing w:before="32" w:line="202" w:lineRule="auto"/>
              <w:ind w:left="138"/>
            </w:pPr>
            <w:r>
              <w:rPr>
                <w:b/>
                <w:bCs/>
                <w:spacing w:val="-5"/>
              </w:rPr>
              <w:t>序号</w:t>
            </w:r>
          </w:p>
        </w:tc>
        <w:tc>
          <w:tcPr>
            <w:tcW w:w="1338" w:type="dxa"/>
            <w:shd w:val="clear" w:color="auto" w:fill="D0D9E5"/>
            <w:noWrap w:val="0"/>
            <w:vAlign w:val="top"/>
          </w:tcPr>
          <w:p w14:paraId="2BF14CE4">
            <w:pPr>
              <w:pStyle w:val="43"/>
              <w:spacing w:before="31" w:line="203" w:lineRule="auto"/>
              <w:ind w:left="184"/>
            </w:pPr>
            <w:r>
              <w:rPr>
                <w:b/>
                <w:bCs/>
                <w:spacing w:val="7"/>
              </w:rPr>
              <w:t>考核项目</w:t>
            </w:r>
          </w:p>
        </w:tc>
        <w:tc>
          <w:tcPr>
            <w:tcW w:w="3836" w:type="dxa"/>
            <w:shd w:val="clear" w:color="auto" w:fill="C8D1DC"/>
            <w:noWrap w:val="0"/>
            <w:vAlign w:val="top"/>
          </w:tcPr>
          <w:p w14:paraId="288747BD">
            <w:pPr>
              <w:pStyle w:val="43"/>
              <w:spacing w:before="31" w:line="203" w:lineRule="auto"/>
              <w:ind w:left="1436"/>
            </w:pPr>
            <w:r>
              <w:rPr>
                <w:b/>
                <w:bCs/>
                <w:spacing w:val="-5"/>
              </w:rPr>
              <w:t>标准内容</w:t>
            </w:r>
          </w:p>
        </w:tc>
        <w:tc>
          <w:tcPr>
            <w:tcW w:w="749" w:type="dxa"/>
            <w:shd w:val="clear" w:color="auto" w:fill="D0DAE4"/>
            <w:noWrap w:val="0"/>
            <w:vAlign w:val="top"/>
          </w:tcPr>
          <w:p w14:paraId="3849F609">
            <w:pPr>
              <w:pStyle w:val="43"/>
              <w:spacing w:before="31" w:line="203" w:lineRule="auto"/>
              <w:ind w:left="130"/>
            </w:pPr>
            <w:r>
              <w:rPr>
                <w:b/>
                <w:bCs/>
                <w:spacing w:val="-6"/>
              </w:rPr>
              <w:t>分值</w:t>
            </w:r>
          </w:p>
        </w:tc>
        <w:tc>
          <w:tcPr>
            <w:tcW w:w="1908" w:type="dxa"/>
            <w:shd w:val="clear" w:color="auto" w:fill="C4CDD9"/>
            <w:noWrap w:val="0"/>
            <w:vAlign w:val="top"/>
          </w:tcPr>
          <w:p w14:paraId="17E7C043">
            <w:pPr>
              <w:pStyle w:val="43"/>
              <w:spacing w:before="32" w:line="202" w:lineRule="auto"/>
              <w:ind w:left="471"/>
            </w:pPr>
            <w:r>
              <w:rPr>
                <w:b/>
                <w:bCs/>
                <w:spacing w:val="1"/>
              </w:rPr>
              <w:t>评分细则</w:t>
            </w:r>
          </w:p>
        </w:tc>
        <w:tc>
          <w:tcPr>
            <w:tcW w:w="704" w:type="dxa"/>
            <w:shd w:val="clear" w:color="auto" w:fill="CBD5E0"/>
            <w:noWrap w:val="0"/>
            <w:vAlign w:val="top"/>
          </w:tcPr>
          <w:p w14:paraId="1BBFA6D4">
            <w:pPr>
              <w:pStyle w:val="43"/>
              <w:spacing w:before="31" w:line="203" w:lineRule="auto"/>
              <w:ind w:left="113"/>
            </w:pPr>
            <w:r>
              <w:rPr>
                <w:b/>
                <w:bCs/>
                <w:spacing w:val="-6"/>
              </w:rPr>
              <w:t>得分</w:t>
            </w:r>
          </w:p>
        </w:tc>
      </w:tr>
      <w:tr w14:paraId="4CF4A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68" w:hRule="atLeast"/>
        </w:trPr>
        <w:tc>
          <w:tcPr>
            <w:tcW w:w="774" w:type="dxa"/>
            <w:noWrap w:val="0"/>
            <w:vAlign w:val="center"/>
          </w:tcPr>
          <w:p w14:paraId="318EEB95">
            <w:pPr>
              <w:spacing w:line="249" w:lineRule="auto"/>
              <w:rPr>
                <w:rFonts w:ascii="Arial"/>
              </w:rPr>
            </w:pPr>
          </w:p>
          <w:p w14:paraId="6C8A16F9">
            <w:pPr>
              <w:spacing w:line="249" w:lineRule="auto"/>
              <w:rPr>
                <w:rFonts w:ascii="Arial"/>
              </w:rPr>
            </w:pPr>
          </w:p>
          <w:p w14:paraId="29F51807">
            <w:pPr>
              <w:spacing w:line="249" w:lineRule="auto"/>
              <w:rPr>
                <w:rFonts w:ascii="Arial"/>
              </w:rPr>
            </w:pPr>
          </w:p>
          <w:p w14:paraId="40872171">
            <w:pPr>
              <w:spacing w:line="249" w:lineRule="auto"/>
              <w:rPr>
                <w:rFonts w:ascii="Arial"/>
              </w:rPr>
            </w:pPr>
          </w:p>
          <w:p w14:paraId="5D33C04D">
            <w:pPr>
              <w:pStyle w:val="43"/>
              <w:spacing w:before="78" w:line="184" w:lineRule="auto"/>
              <w:ind w:left="314"/>
            </w:pPr>
            <w:r>
              <w:t>1</w:t>
            </w:r>
          </w:p>
        </w:tc>
        <w:tc>
          <w:tcPr>
            <w:tcW w:w="1338" w:type="dxa"/>
            <w:noWrap w:val="0"/>
            <w:vAlign w:val="center"/>
          </w:tcPr>
          <w:p w14:paraId="29A5C5B0">
            <w:pPr>
              <w:spacing w:line="259" w:lineRule="auto"/>
              <w:rPr>
                <w:rFonts w:ascii="Arial"/>
              </w:rPr>
            </w:pPr>
          </w:p>
          <w:p w14:paraId="3DD937FC">
            <w:pPr>
              <w:spacing w:line="259" w:lineRule="auto"/>
              <w:rPr>
                <w:rFonts w:ascii="Arial"/>
              </w:rPr>
            </w:pPr>
          </w:p>
          <w:p w14:paraId="0C03AEF0">
            <w:pPr>
              <w:spacing w:line="259" w:lineRule="auto"/>
              <w:rPr>
                <w:rFonts w:ascii="Arial"/>
              </w:rPr>
            </w:pPr>
          </w:p>
          <w:p w14:paraId="3600F745">
            <w:pPr>
              <w:pStyle w:val="43"/>
              <w:spacing w:before="78"/>
              <w:ind w:left="420" w:right="175" w:hanging="240"/>
              <w:rPr>
                <w:lang w:eastAsia="zh-CN"/>
              </w:rPr>
            </w:pPr>
            <w:r>
              <w:rPr>
                <w:rFonts w:hint="eastAsia"/>
                <w:spacing w:val="-3"/>
                <w:lang w:eastAsia="zh-CN"/>
              </w:rPr>
              <w:t>食品安全管理</w:t>
            </w:r>
          </w:p>
        </w:tc>
        <w:tc>
          <w:tcPr>
            <w:tcW w:w="3836" w:type="dxa"/>
            <w:noWrap w:val="0"/>
            <w:vAlign w:val="top"/>
          </w:tcPr>
          <w:p w14:paraId="6DED2A74">
            <w:pPr>
              <w:pStyle w:val="43"/>
              <w:spacing w:before="69" w:line="245" w:lineRule="auto"/>
              <w:ind w:left="112" w:right="84"/>
              <w:rPr>
                <w:rFonts w:hint="eastAsia"/>
                <w:spacing w:val="-3"/>
                <w:lang w:eastAsia="zh-CN"/>
              </w:rPr>
            </w:pPr>
            <w:r>
              <w:rPr>
                <w:spacing w:val="1"/>
                <w:lang w:eastAsia="zh-CN"/>
              </w:rPr>
              <w:t>1.</w:t>
            </w:r>
            <w:r>
              <w:rPr>
                <w:rFonts w:hint="eastAsia"/>
                <w:spacing w:val="-3"/>
                <w:lang w:eastAsia="zh-CN"/>
              </w:rPr>
              <w:t>是否建立食品安全管理组织和岗 位责任制，明确和落实食品安全责 任；</w:t>
            </w:r>
          </w:p>
          <w:p w14:paraId="32915EAF">
            <w:pPr>
              <w:pStyle w:val="43"/>
              <w:spacing w:before="13" w:line="241" w:lineRule="auto"/>
              <w:ind w:left="112" w:right="98"/>
              <w:rPr>
                <w:lang w:eastAsia="zh-CN"/>
              </w:rPr>
            </w:pPr>
            <w:r>
              <w:rPr>
                <w:lang w:eastAsia="zh-CN"/>
              </w:rPr>
              <w:t>2.是否建立从业人员健康管理制度</w:t>
            </w:r>
            <w:r>
              <w:rPr>
                <w:spacing w:val="13"/>
                <w:lang w:eastAsia="zh-CN"/>
              </w:rPr>
              <w:t xml:space="preserve"> </w:t>
            </w:r>
            <w:r>
              <w:rPr>
                <w:spacing w:val="15"/>
                <w:lang w:eastAsia="zh-CN"/>
              </w:rPr>
              <w:t>和健康档案制度；</w:t>
            </w:r>
          </w:p>
          <w:p w14:paraId="4F3B6822">
            <w:pPr>
              <w:pStyle w:val="43"/>
              <w:spacing w:before="15" w:line="222" w:lineRule="auto"/>
              <w:ind w:left="112" w:right="99"/>
            </w:pPr>
            <w:r>
              <w:t>3.是否按要求建立健全其他食品安</w:t>
            </w:r>
            <w:r>
              <w:rPr>
                <w:spacing w:val="13"/>
              </w:rPr>
              <w:t xml:space="preserve"> </w:t>
            </w:r>
            <w:r>
              <w:t>全管理制度。</w:t>
            </w:r>
          </w:p>
        </w:tc>
        <w:tc>
          <w:tcPr>
            <w:tcW w:w="749" w:type="dxa"/>
            <w:noWrap w:val="0"/>
            <w:vAlign w:val="top"/>
          </w:tcPr>
          <w:p w14:paraId="3F69E86A">
            <w:pPr>
              <w:spacing w:line="312" w:lineRule="auto"/>
              <w:rPr>
                <w:rFonts w:ascii="Arial"/>
              </w:rPr>
            </w:pPr>
          </w:p>
          <w:p w14:paraId="6DCAC1AB">
            <w:pPr>
              <w:spacing w:line="312" w:lineRule="auto"/>
              <w:rPr>
                <w:rFonts w:ascii="Arial"/>
              </w:rPr>
            </w:pPr>
          </w:p>
          <w:p w14:paraId="14D5BA74">
            <w:pPr>
              <w:spacing w:line="312" w:lineRule="auto"/>
              <w:rPr>
                <w:rFonts w:ascii="Arial"/>
              </w:rPr>
            </w:pPr>
          </w:p>
          <w:p w14:paraId="11A30179">
            <w:pPr>
              <w:pStyle w:val="43"/>
              <w:spacing w:before="78" w:line="220" w:lineRule="auto"/>
              <w:ind w:left="186"/>
            </w:pPr>
            <w:r>
              <w:rPr>
                <w:spacing w:val="5"/>
              </w:rPr>
              <w:t>6分</w:t>
            </w:r>
          </w:p>
        </w:tc>
        <w:tc>
          <w:tcPr>
            <w:tcW w:w="1908" w:type="dxa"/>
            <w:noWrap w:val="0"/>
            <w:vAlign w:val="top"/>
          </w:tcPr>
          <w:p w14:paraId="18F1E442">
            <w:pPr>
              <w:spacing w:line="259" w:lineRule="auto"/>
              <w:rPr>
                <w:rFonts w:ascii="Arial"/>
              </w:rPr>
            </w:pPr>
          </w:p>
          <w:p w14:paraId="20D0A96C">
            <w:pPr>
              <w:spacing w:line="259" w:lineRule="auto"/>
              <w:rPr>
                <w:rFonts w:ascii="Arial"/>
              </w:rPr>
            </w:pPr>
          </w:p>
          <w:p w14:paraId="59EF969B">
            <w:pPr>
              <w:spacing w:line="259" w:lineRule="auto"/>
              <w:rPr>
                <w:rFonts w:ascii="Arial"/>
              </w:rPr>
            </w:pPr>
          </w:p>
          <w:p w14:paraId="72D2C5A2">
            <w:pPr>
              <w:pStyle w:val="43"/>
              <w:spacing w:before="78" w:line="219" w:lineRule="auto"/>
              <w:ind w:left="108"/>
              <w:rPr>
                <w:lang w:eastAsia="zh-CN"/>
              </w:rPr>
            </w:pPr>
            <w:r>
              <w:rPr>
                <w:spacing w:val="1"/>
                <w:lang w:eastAsia="zh-CN"/>
              </w:rPr>
              <w:t>每发现一处不完</w:t>
            </w:r>
          </w:p>
          <w:p w14:paraId="4A4AFACC">
            <w:pPr>
              <w:pStyle w:val="43"/>
              <w:spacing w:before="55" w:line="220" w:lineRule="auto"/>
              <w:ind w:left="227"/>
              <w:rPr>
                <w:lang w:eastAsia="zh-CN"/>
              </w:rPr>
            </w:pPr>
            <w:r>
              <w:rPr>
                <w:lang w:eastAsia="zh-CN"/>
              </w:rPr>
              <w:t>整规范扣2分。</w:t>
            </w:r>
          </w:p>
        </w:tc>
        <w:tc>
          <w:tcPr>
            <w:tcW w:w="704" w:type="dxa"/>
            <w:noWrap w:val="0"/>
            <w:vAlign w:val="top"/>
          </w:tcPr>
          <w:p w14:paraId="02F60718">
            <w:pPr>
              <w:rPr>
                <w:rFonts w:ascii="Arial"/>
              </w:rPr>
            </w:pPr>
          </w:p>
        </w:tc>
      </w:tr>
      <w:tr w14:paraId="197CE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8" w:hRule="atLeast"/>
        </w:trPr>
        <w:tc>
          <w:tcPr>
            <w:tcW w:w="774" w:type="dxa"/>
            <w:noWrap w:val="0"/>
            <w:vAlign w:val="center"/>
          </w:tcPr>
          <w:p w14:paraId="3289E6C1">
            <w:pPr>
              <w:spacing w:line="261" w:lineRule="auto"/>
              <w:rPr>
                <w:rFonts w:ascii="Arial"/>
              </w:rPr>
            </w:pPr>
          </w:p>
          <w:p w14:paraId="46078B7E">
            <w:pPr>
              <w:spacing w:line="261" w:lineRule="auto"/>
              <w:rPr>
                <w:rFonts w:ascii="Arial"/>
              </w:rPr>
            </w:pPr>
          </w:p>
          <w:p w14:paraId="61733FB0">
            <w:pPr>
              <w:spacing w:line="262" w:lineRule="auto"/>
              <w:rPr>
                <w:rFonts w:ascii="Arial"/>
              </w:rPr>
            </w:pPr>
          </w:p>
          <w:p w14:paraId="55226AA2">
            <w:pPr>
              <w:spacing w:line="262" w:lineRule="auto"/>
              <w:rPr>
                <w:rFonts w:ascii="Arial"/>
              </w:rPr>
            </w:pPr>
          </w:p>
          <w:p w14:paraId="04C141FC">
            <w:pPr>
              <w:spacing w:line="262" w:lineRule="auto"/>
              <w:rPr>
                <w:rFonts w:ascii="Arial"/>
              </w:rPr>
            </w:pPr>
          </w:p>
          <w:p w14:paraId="6D2CAB2E">
            <w:pPr>
              <w:pStyle w:val="43"/>
              <w:spacing w:before="78" w:line="183" w:lineRule="auto"/>
              <w:ind w:left="314"/>
              <w:rPr>
                <w:rFonts w:hint="eastAsia"/>
                <w:lang w:eastAsia="zh-CN"/>
              </w:rPr>
            </w:pPr>
            <w:r>
              <w:rPr>
                <w:rFonts w:hint="eastAsia"/>
                <w:lang w:eastAsia="zh-CN"/>
              </w:rPr>
              <w:t>2</w:t>
            </w:r>
          </w:p>
        </w:tc>
        <w:tc>
          <w:tcPr>
            <w:tcW w:w="1338" w:type="dxa"/>
            <w:noWrap w:val="0"/>
            <w:vAlign w:val="center"/>
          </w:tcPr>
          <w:p w14:paraId="72C1CC93">
            <w:pPr>
              <w:spacing w:line="266" w:lineRule="auto"/>
              <w:rPr>
                <w:rFonts w:ascii="Arial"/>
              </w:rPr>
            </w:pPr>
          </w:p>
          <w:p w14:paraId="42CEA2DE">
            <w:pPr>
              <w:spacing w:line="267" w:lineRule="auto"/>
              <w:rPr>
                <w:rFonts w:ascii="Arial"/>
              </w:rPr>
            </w:pPr>
          </w:p>
          <w:p w14:paraId="4EDC329B">
            <w:pPr>
              <w:spacing w:line="267" w:lineRule="auto"/>
              <w:rPr>
                <w:rFonts w:ascii="Arial"/>
              </w:rPr>
            </w:pPr>
          </w:p>
          <w:p w14:paraId="5A5B1765">
            <w:pPr>
              <w:pStyle w:val="43"/>
              <w:spacing w:before="78" w:line="220" w:lineRule="auto"/>
              <w:ind w:left="180"/>
              <w:rPr>
                <w:lang w:eastAsia="zh-CN"/>
              </w:rPr>
            </w:pPr>
            <w:r>
              <w:rPr>
                <w:spacing w:val="8"/>
                <w:lang w:eastAsia="zh-CN"/>
              </w:rPr>
              <w:t>从业人员</w:t>
            </w:r>
          </w:p>
          <w:p w14:paraId="5C46C0CB">
            <w:pPr>
              <w:pStyle w:val="43"/>
              <w:spacing w:before="43" w:line="219" w:lineRule="auto"/>
              <w:ind w:left="180"/>
              <w:rPr>
                <w:lang w:eastAsia="zh-CN"/>
              </w:rPr>
            </w:pPr>
            <w:r>
              <w:rPr>
                <w:spacing w:val="-2"/>
                <w:lang w:eastAsia="zh-CN"/>
              </w:rPr>
              <w:t>健康合格</w:t>
            </w:r>
          </w:p>
          <w:p w14:paraId="7D0706C0">
            <w:pPr>
              <w:pStyle w:val="43"/>
              <w:spacing w:before="35" w:line="219" w:lineRule="auto"/>
              <w:ind w:left="180"/>
              <w:rPr>
                <w:lang w:eastAsia="zh-CN"/>
              </w:rPr>
            </w:pPr>
            <w:r>
              <w:rPr>
                <w:spacing w:val="2"/>
                <w:lang w:eastAsia="zh-CN"/>
              </w:rPr>
              <w:t>证明及卫</w:t>
            </w:r>
          </w:p>
          <w:p w14:paraId="33236389">
            <w:pPr>
              <w:pStyle w:val="43"/>
              <w:spacing w:before="36" w:line="221" w:lineRule="auto"/>
              <w:ind w:left="300"/>
            </w:pPr>
            <w:r>
              <w:rPr>
                <w:spacing w:val="3"/>
              </w:rPr>
              <w:t>生要求</w:t>
            </w:r>
          </w:p>
        </w:tc>
        <w:tc>
          <w:tcPr>
            <w:tcW w:w="3836" w:type="dxa"/>
            <w:noWrap w:val="0"/>
            <w:vAlign w:val="top"/>
          </w:tcPr>
          <w:p w14:paraId="6BE42E82">
            <w:pPr>
              <w:pStyle w:val="43"/>
              <w:spacing w:before="69" w:line="245" w:lineRule="auto"/>
              <w:ind w:left="112" w:right="84"/>
              <w:rPr>
                <w:spacing w:val="1"/>
                <w:lang w:eastAsia="zh-CN"/>
              </w:rPr>
            </w:pPr>
            <w:r>
              <w:rPr>
                <w:spacing w:val="1"/>
                <w:lang w:eastAsia="zh-CN"/>
              </w:rPr>
              <w:t>1.是否持有有效健康合格证明； 2.是否进行岗前培训。</w:t>
            </w:r>
          </w:p>
          <w:p w14:paraId="25A3C14B">
            <w:pPr>
              <w:pStyle w:val="43"/>
              <w:spacing w:before="69" w:line="245" w:lineRule="auto"/>
              <w:ind w:left="112" w:right="84"/>
              <w:rPr>
                <w:spacing w:val="1"/>
                <w:lang w:eastAsia="zh-CN"/>
              </w:rPr>
            </w:pPr>
            <w:r>
              <w:rPr>
                <w:spacing w:val="1"/>
                <w:lang w:eastAsia="zh-CN"/>
              </w:rPr>
              <w:t>3.操作时是否穿戴清洁的工作服和帽；</w:t>
            </w:r>
          </w:p>
          <w:p w14:paraId="54C8AF3B">
            <w:pPr>
              <w:pStyle w:val="43"/>
              <w:spacing w:before="69" w:line="245" w:lineRule="auto"/>
              <w:ind w:left="112" w:right="84"/>
              <w:rPr>
                <w:spacing w:val="1"/>
                <w:lang w:eastAsia="zh-CN"/>
              </w:rPr>
            </w:pPr>
            <w:r>
              <w:rPr>
                <w:spacing w:val="1"/>
                <w:lang w:eastAsia="zh-CN"/>
              </w:rPr>
              <w:t>4.操作时是否抽烟；是否接听电话； 5.是否留长指甲或涂指甲油、佩戴  饰 物 ；</w:t>
            </w:r>
          </w:p>
          <w:p w14:paraId="3091F676">
            <w:pPr>
              <w:pStyle w:val="43"/>
              <w:spacing w:before="69" w:line="245" w:lineRule="auto"/>
              <w:ind w:left="112" w:right="84"/>
              <w:rPr>
                <w:spacing w:val="1"/>
                <w:lang w:eastAsia="zh-CN"/>
              </w:rPr>
            </w:pPr>
            <w:r>
              <w:rPr>
                <w:spacing w:val="1"/>
                <w:lang w:eastAsia="zh-CN"/>
              </w:rPr>
              <w:t>6.是否手部破损而未采取有效防污 染措施。</w:t>
            </w:r>
          </w:p>
          <w:p w14:paraId="66C60CF0">
            <w:pPr>
              <w:pStyle w:val="43"/>
              <w:spacing w:before="69" w:line="245" w:lineRule="auto"/>
              <w:ind w:left="112" w:right="84"/>
              <w:rPr>
                <w:rFonts w:hint="default"/>
                <w:spacing w:val="1"/>
                <w:lang w:val="en-US" w:eastAsia="zh-CN"/>
              </w:rPr>
            </w:pPr>
            <w:r>
              <w:rPr>
                <w:rFonts w:hint="eastAsia"/>
                <w:spacing w:val="1"/>
                <w:lang w:val="en-US" w:eastAsia="zh-CN"/>
              </w:rPr>
              <w:t>7.是否带病上岗。</w:t>
            </w:r>
          </w:p>
        </w:tc>
        <w:tc>
          <w:tcPr>
            <w:tcW w:w="749" w:type="dxa"/>
            <w:noWrap w:val="0"/>
            <w:vAlign w:val="top"/>
          </w:tcPr>
          <w:p w14:paraId="7F7D6AB0">
            <w:pPr>
              <w:spacing w:line="249" w:lineRule="auto"/>
              <w:rPr>
                <w:rFonts w:ascii="Arial"/>
              </w:rPr>
            </w:pPr>
          </w:p>
          <w:p w14:paraId="01508612">
            <w:pPr>
              <w:spacing w:line="249" w:lineRule="auto"/>
              <w:rPr>
                <w:rFonts w:ascii="Arial"/>
              </w:rPr>
            </w:pPr>
          </w:p>
          <w:p w14:paraId="5A340056">
            <w:pPr>
              <w:spacing w:line="249" w:lineRule="auto"/>
              <w:rPr>
                <w:rFonts w:ascii="Arial"/>
              </w:rPr>
            </w:pPr>
          </w:p>
          <w:p w14:paraId="34B1D7AF">
            <w:pPr>
              <w:spacing w:line="250" w:lineRule="auto"/>
              <w:rPr>
                <w:rFonts w:ascii="Arial"/>
              </w:rPr>
            </w:pPr>
          </w:p>
          <w:p w14:paraId="1BEA25A9">
            <w:pPr>
              <w:spacing w:line="250" w:lineRule="auto"/>
              <w:rPr>
                <w:rFonts w:ascii="Arial"/>
              </w:rPr>
            </w:pPr>
          </w:p>
          <w:p w14:paraId="26921C2B">
            <w:pPr>
              <w:pStyle w:val="43"/>
              <w:spacing w:before="78" w:line="220" w:lineRule="auto"/>
              <w:ind w:left="186"/>
            </w:pPr>
            <w:r>
              <w:rPr>
                <w:spacing w:val="5"/>
              </w:rPr>
              <w:t>8分</w:t>
            </w:r>
          </w:p>
        </w:tc>
        <w:tc>
          <w:tcPr>
            <w:tcW w:w="1908" w:type="dxa"/>
            <w:noWrap w:val="0"/>
            <w:vAlign w:val="top"/>
          </w:tcPr>
          <w:p w14:paraId="6A172521">
            <w:pPr>
              <w:spacing w:line="255" w:lineRule="auto"/>
              <w:rPr>
                <w:rFonts w:ascii="Arial"/>
              </w:rPr>
            </w:pPr>
          </w:p>
          <w:p w14:paraId="480322AF">
            <w:pPr>
              <w:spacing w:line="255" w:lineRule="auto"/>
              <w:rPr>
                <w:rFonts w:ascii="Arial"/>
              </w:rPr>
            </w:pPr>
          </w:p>
          <w:p w14:paraId="518A7D57">
            <w:pPr>
              <w:spacing w:line="255" w:lineRule="auto"/>
              <w:rPr>
                <w:rFonts w:ascii="Arial"/>
              </w:rPr>
            </w:pPr>
          </w:p>
          <w:p w14:paraId="6DB3E649">
            <w:pPr>
              <w:spacing w:line="255" w:lineRule="auto"/>
              <w:rPr>
                <w:rFonts w:ascii="Arial"/>
              </w:rPr>
            </w:pPr>
          </w:p>
          <w:p w14:paraId="3E73FC53">
            <w:pPr>
              <w:spacing w:line="256" w:lineRule="auto"/>
              <w:rPr>
                <w:rFonts w:ascii="Arial"/>
              </w:rPr>
            </w:pPr>
          </w:p>
          <w:p w14:paraId="71AC1318">
            <w:pPr>
              <w:pStyle w:val="43"/>
              <w:spacing w:before="78" w:line="234" w:lineRule="auto"/>
              <w:ind w:left="226" w:right="110" w:hanging="59"/>
              <w:rPr>
                <w:lang w:eastAsia="zh-CN"/>
              </w:rPr>
            </w:pPr>
            <w:r>
              <w:rPr>
                <w:spacing w:val="-2"/>
                <w:lang w:eastAsia="zh-CN"/>
              </w:rPr>
              <w:t>每发现1人不符</w:t>
            </w:r>
            <w:r>
              <w:rPr>
                <w:spacing w:val="3"/>
                <w:lang w:eastAsia="zh-CN"/>
              </w:rPr>
              <w:t xml:space="preserve"> </w:t>
            </w:r>
            <w:r>
              <w:rPr>
                <w:lang w:eastAsia="zh-CN"/>
              </w:rPr>
              <w:t>合要求扣2分。</w:t>
            </w:r>
          </w:p>
        </w:tc>
        <w:tc>
          <w:tcPr>
            <w:tcW w:w="704" w:type="dxa"/>
            <w:noWrap w:val="0"/>
            <w:vAlign w:val="top"/>
          </w:tcPr>
          <w:p w14:paraId="41B80F20">
            <w:pPr>
              <w:rPr>
                <w:rFonts w:ascii="Arial"/>
              </w:rPr>
            </w:pPr>
          </w:p>
        </w:tc>
      </w:tr>
      <w:tr w14:paraId="18AC8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7" w:hRule="atLeast"/>
        </w:trPr>
        <w:tc>
          <w:tcPr>
            <w:tcW w:w="774" w:type="dxa"/>
            <w:noWrap w:val="0"/>
            <w:vAlign w:val="center"/>
          </w:tcPr>
          <w:p w14:paraId="11771068">
            <w:pPr>
              <w:pStyle w:val="43"/>
              <w:spacing w:before="78" w:line="183" w:lineRule="auto"/>
              <w:ind w:firstLine="240" w:firstLineChars="100"/>
              <w:rPr>
                <w:rFonts w:hint="eastAsia"/>
                <w:lang w:eastAsia="zh-CN"/>
              </w:rPr>
            </w:pPr>
            <w:r>
              <w:rPr>
                <w:rFonts w:hint="eastAsia"/>
                <w:lang w:eastAsia="zh-CN"/>
              </w:rPr>
              <w:t>3</w:t>
            </w:r>
          </w:p>
        </w:tc>
        <w:tc>
          <w:tcPr>
            <w:tcW w:w="1338" w:type="dxa"/>
            <w:noWrap w:val="0"/>
            <w:vAlign w:val="center"/>
          </w:tcPr>
          <w:p w14:paraId="36BB8401">
            <w:pPr>
              <w:pStyle w:val="43"/>
              <w:spacing w:before="78" w:line="220" w:lineRule="auto"/>
              <w:ind w:firstLine="532" w:firstLineChars="200"/>
            </w:pPr>
            <w:r>
              <w:rPr>
                <w:spacing w:val="13"/>
              </w:rPr>
              <w:t>培训</w:t>
            </w:r>
          </w:p>
        </w:tc>
        <w:tc>
          <w:tcPr>
            <w:tcW w:w="3836" w:type="dxa"/>
            <w:noWrap w:val="0"/>
            <w:vAlign w:val="center"/>
          </w:tcPr>
          <w:p w14:paraId="555715D3">
            <w:pPr>
              <w:pStyle w:val="43"/>
              <w:spacing w:before="7" w:line="230" w:lineRule="auto"/>
              <w:ind w:left="89" w:hanging="77"/>
              <w:jc w:val="left"/>
              <w:rPr>
                <w:spacing w:val="-2"/>
                <w:lang w:eastAsia="zh-CN"/>
              </w:rPr>
            </w:pPr>
            <w:r>
              <w:rPr>
                <w:spacing w:val="-2"/>
                <w:lang w:eastAsia="zh-CN"/>
              </w:rPr>
              <w:t>是否每月组织从业人员参加不少 于</w:t>
            </w:r>
            <w:r>
              <w:rPr>
                <w:rFonts w:hint="eastAsia"/>
                <w:spacing w:val="-2"/>
                <w:lang w:eastAsia="zh-CN"/>
              </w:rPr>
              <w:t>1</w:t>
            </w:r>
            <w:r>
              <w:rPr>
                <w:spacing w:val="-2"/>
                <w:lang w:eastAsia="zh-CN"/>
              </w:rPr>
              <w:t>次培训，内容包括但不限于食品安全、消防、技能等方面；</w:t>
            </w:r>
          </w:p>
          <w:p w14:paraId="6FBB778B">
            <w:pPr>
              <w:pStyle w:val="43"/>
              <w:spacing w:before="7" w:line="230" w:lineRule="auto"/>
              <w:ind w:left="89" w:hanging="77"/>
              <w:jc w:val="left"/>
              <w:rPr>
                <w:lang w:eastAsia="zh-CN"/>
              </w:rPr>
            </w:pPr>
          </w:p>
        </w:tc>
        <w:tc>
          <w:tcPr>
            <w:tcW w:w="749" w:type="dxa"/>
            <w:noWrap w:val="0"/>
            <w:vAlign w:val="top"/>
          </w:tcPr>
          <w:p w14:paraId="3BD0999E">
            <w:pPr>
              <w:spacing w:line="301" w:lineRule="auto"/>
              <w:rPr>
                <w:rFonts w:ascii="Arial"/>
              </w:rPr>
            </w:pPr>
          </w:p>
          <w:p w14:paraId="63D7056A">
            <w:pPr>
              <w:pStyle w:val="43"/>
              <w:spacing w:before="78" w:line="220" w:lineRule="auto"/>
              <w:ind w:firstLine="236" w:firstLineChars="100"/>
            </w:pPr>
            <w:r>
              <w:rPr>
                <w:spacing w:val="-2"/>
              </w:rPr>
              <w:t>4分</w:t>
            </w:r>
          </w:p>
        </w:tc>
        <w:tc>
          <w:tcPr>
            <w:tcW w:w="1908" w:type="dxa"/>
            <w:noWrap w:val="0"/>
            <w:vAlign w:val="top"/>
          </w:tcPr>
          <w:p w14:paraId="0050A48C">
            <w:pPr>
              <w:pStyle w:val="43"/>
              <w:spacing w:before="74" w:line="238" w:lineRule="auto"/>
              <w:ind w:left="108" w:right="95" w:firstLine="59"/>
              <w:rPr>
                <w:lang w:eastAsia="zh-CN"/>
              </w:rPr>
            </w:pPr>
            <w:r>
              <w:rPr>
                <w:spacing w:val="2"/>
                <w:sz w:val="21"/>
                <w:szCs w:val="21"/>
                <w:lang w:eastAsia="zh-CN"/>
              </w:rPr>
              <w:t>每月培训少于</w:t>
            </w:r>
            <w:r>
              <w:rPr>
                <w:rFonts w:hint="eastAsia"/>
                <w:spacing w:val="2"/>
                <w:sz w:val="21"/>
                <w:szCs w:val="21"/>
                <w:lang w:eastAsia="zh-CN"/>
              </w:rPr>
              <w:t>1</w:t>
            </w:r>
            <w:r>
              <w:rPr>
                <w:sz w:val="21"/>
                <w:szCs w:val="21"/>
                <w:lang w:eastAsia="zh-CN"/>
              </w:rPr>
              <w:t xml:space="preserve"> </w:t>
            </w:r>
            <w:r>
              <w:rPr>
                <w:spacing w:val="2"/>
                <w:sz w:val="21"/>
                <w:szCs w:val="21"/>
                <w:lang w:eastAsia="zh-CN"/>
              </w:rPr>
              <w:t>次</w:t>
            </w:r>
            <w:r>
              <w:rPr>
                <w:spacing w:val="12"/>
                <w:sz w:val="21"/>
                <w:szCs w:val="21"/>
                <w:lang w:eastAsia="zh-CN"/>
              </w:rPr>
              <w:t>扣2分；无培训</w:t>
            </w:r>
            <w:r>
              <w:rPr>
                <w:sz w:val="21"/>
                <w:szCs w:val="21"/>
                <w:lang w:eastAsia="zh-CN"/>
              </w:rPr>
              <w:t>扣4分。</w:t>
            </w:r>
          </w:p>
        </w:tc>
        <w:tc>
          <w:tcPr>
            <w:tcW w:w="704" w:type="dxa"/>
            <w:noWrap w:val="0"/>
            <w:vAlign w:val="top"/>
          </w:tcPr>
          <w:p w14:paraId="5D9D86AE">
            <w:pPr>
              <w:rPr>
                <w:rFonts w:ascii="Arial"/>
              </w:rPr>
            </w:pPr>
          </w:p>
        </w:tc>
      </w:tr>
      <w:tr w14:paraId="0F517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8" w:hRule="atLeast"/>
        </w:trPr>
        <w:tc>
          <w:tcPr>
            <w:tcW w:w="774" w:type="dxa"/>
            <w:noWrap w:val="0"/>
            <w:vAlign w:val="center"/>
          </w:tcPr>
          <w:p w14:paraId="2C24FFEA">
            <w:pPr>
              <w:spacing w:line="278" w:lineRule="auto"/>
              <w:rPr>
                <w:rFonts w:ascii="Arial"/>
              </w:rPr>
            </w:pPr>
          </w:p>
          <w:p w14:paraId="39A43CDF">
            <w:pPr>
              <w:spacing w:line="278" w:lineRule="auto"/>
              <w:rPr>
                <w:rFonts w:ascii="Arial"/>
              </w:rPr>
            </w:pPr>
          </w:p>
          <w:p w14:paraId="2EDBB85E">
            <w:pPr>
              <w:spacing w:line="279" w:lineRule="auto"/>
              <w:rPr>
                <w:rFonts w:ascii="Arial"/>
              </w:rPr>
            </w:pPr>
          </w:p>
          <w:p w14:paraId="719C68EF">
            <w:pPr>
              <w:pStyle w:val="43"/>
              <w:spacing w:before="78" w:line="182" w:lineRule="auto"/>
              <w:ind w:left="314"/>
              <w:rPr>
                <w:rFonts w:hint="eastAsia"/>
                <w:lang w:eastAsia="zh-CN"/>
              </w:rPr>
            </w:pPr>
            <w:r>
              <w:rPr>
                <w:rFonts w:hint="eastAsia"/>
                <w:lang w:eastAsia="zh-CN"/>
              </w:rPr>
              <w:t>4</w:t>
            </w:r>
          </w:p>
        </w:tc>
        <w:tc>
          <w:tcPr>
            <w:tcW w:w="1338" w:type="dxa"/>
            <w:noWrap w:val="0"/>
            <w:vAlign w:val="center"/>
          </w:tcPr>
          <w:p w14:paraId="798C7961">
            <w:pPr>
              <w:spacing w:line="316" w:lineRule="auto"/>
              <w:rPr>
                <w:rFonts w:ascii="Arial"/>
              </w:rPr>
            </w:pPr>
          </w:p>
          <w:p w14:paraId="361DBABC">
            <w:pPr>
              <w:spacing w:line="317" w:lineRule="auto"/>
              <w:rPr>
                <w:rFonts w:ascii="Arial"/>
              </w:rPr>
            </w:pPr>
          </w:p>
          <w:p w14:paraId="4A01D84F">
            <w:pPr>
              <w:pStyle w:val="43"/>
              <w:spacing w:before="78" w:line="233" w:lineRule="auto"/>
              <w:ind w:left="180" w:right="176"/>
            </w:pPr>
            <w:r>
              <w:rPr>
                <w:spacing w:val="8"/>
              </w:rPr>
              <w:t>就餐场所内外环境</w:t>
            </w:r>
          </w:p>
        </w:tc>
        <w:tc>
          <w:tcPr>
            <w:tcW w:w="3836" w:type="dxa"/>
            <w:noWrap w:val="0"/>
            <w:vAlign w:val="top"/>
          </w:tcPr>
          <w:p w14:paraId="6A23167B">
            <w:pPr>
              <w:pStyle w:val="43"/>
              <w:spacing w:before="86" w:line="242" w:lineRule="auto"/>
              <w:ind w:left="112" w:right="52" w:firstLine="60"/>
              <w:rPr>
                <w:lang w:eastAsia="zh-CN"/>
              </w:rPr>
            </w:pPr>
            <w:r>
              <w:rPr>
                <w:lang w:eastAsia="zh-CN"/>
              </w:rPr>
              <w:t xml:space="preserve">1.墙壁、天花板、门窗是否清洁， </w:t>
            </w:r>
            <w:r>
              <w:rPr>
                <w:spacing w:val="1"/>
                <w:lang w:eastAsia="zh-CN"/>
              </w:rPr>
              <w:t>是否有蜘蛛网、霉斑或其它明显积</w:t>
            </w:r>
            <w:r>
              <w:rPr>
                <w:lang w:eastAsia="zh-CN"/>
              </w:rPr>
              <w:t xml:space="preserve"> </w:t>
            </w:r>
            <w:r>
              <w:rPr>
                <w:spacing w:val="1"/>
                <w:lang w:eastAsia="zh-CN"/>
              </w:rPr>
              <w:t>垢；地面是否洁净，是否有积水和</w:t>
            </w:r>
            <w:r>
              <w:rPr>
                <w:spacing w:val="3"/>
                <w:lang w:eastAsia="zh-CN"/>
              </w:rPr>
              <w:t xml:space="preserve"> </w:t>
            </w:r>
            <w:r>
              <w:rPr>
                <w:spacing w:val="10"/>
                <w:lang w:eastAsia="zh-CN"/>
              </w:rPr>
              <w:t>油污，排水沟渠是否通畅；</w:t>
            </w:r>
          </w:p>
          <w:p w14:paraId="5B981440">
            <w:pPr>
              <w:pStyle w:val="43"/>
              <w:spacing w:before="30" w:line="209" w:lineRule="auto"/>
              <w:ind w:left="172" w:right="53" w:hanging="60"/>
              <w:rPr>
                <w:lang w:eastAsia="zh-CN"/>
              </w:rPr>
            </w:pPr>
            <w:r>
              <w:rPr>
                <w:lang w:eastAsia="zh-CN"/>
              </w:rPr>
              <w:t>2.垃圾和废弃物是否及时清理，存</w:t>
            </w:r>
            <w:r>
              <w:rPr>
                <w:spacing w:val="9"/>
                <w:lang w:eastAsia="zh-CN"/>
              </w:rPr>
              <w:t xml:space="preserve"> </w:t>
            </w:r>
            <w:r>
              <w:rPr>
                <w:spacing w:val="-1"/>
                <w:lang w:eastAsia="zh-CN"/>
              </w:rPr>
              <w:t>放设施是否密闭，外观是否清洁。</w:t>
            </w:r>
          </w:p>
        </w:tc>
        <w:tc>
          <w:tcPr>
            <w:tcW w:w="749" w:type="dxa"/>
            <w:noWrap w:val="0"/>
            <w:vAlign w:val="top"/>
          </w:tcPr>
          <w:p w14:paraId="04ED5C54">
            <w:pPr>
              <w:spacing w:line="257" w:lineRule="auto"/>
              <w:rPr>
                <w:rFonts w:ascii="Arial"/>
              </w:rPr>
            </w:pPr>
          </w:p>
          <w:p w14:paraId="7F80D090">
            <w:pPr>
              <w:spacing w:line="258" w:lineRule="auto"/>
              <w:rPr>
                <w:rFonts w:ascii="Arial"/>
              </w:rPr>
            </w:pPr>
          </w:p>
          <w:p w14:paraId="54B1BF00">
            <w:pPr>
              <w:spacing w:line="258" w:lineRule="auto"/>
              <w:rPr>
                <w:rFonts w:ascii="Arial"/>
              </w:rPr>
            </w:pPr>
          </w:p>
          <w:p w14:paraId="39F1497F">
            <w:pPr>
              <w:pStyle w:val="43"/>
              <w:spacing w:before="78" w:line="220" w:lineRule="auto"/>
              <w:ind w:left="186"/>
            </w:pPr>
            <w:r>
              <w:rPr>
                <w:spacing w:val="5"/>
              </w:rPr>
              <w:t>6分</w:t>
            </w:r>
          </w:p>
        </w:tc>
        <w:tc>
          <w:tcPr>
            <w:tcW w:w="1908" w:type="dxa"/>
            <w:noWrap w:val="0"/>
            <w:vAlign w:val="top"/>
          </w:tcPr>
          <w:p w14:paraId="5154C347">
            <w:pPr>
              <w:spacing w:line="327" w:lineRule="auto"/>
              <w:rPr>
                <w:rFonts w:ascii="Arial"/>
              </w:rPr>
            </w:pPr>
          </w:p>
          <w:p w14:paraId="6E7AA21C">
            <w:pPr>
              <w:spacing w:line="327" w:lineRule="auto"/>
              <w:rPr>
                <w:rFonts w:ascii="Arial"/>
              </w:rPr>
            </w:pPr>
          </w:p>
          <w:p w14:paraId="2F0C2BEB">
            <w:pPr>
              <w:pStyle w:val="43"/>
              <w:spacing w:before="78" w:line="219" w:lineRule="auto"/>
              <w:ind w:left="108"/>
              <w:rPr>
                <w:lang w:eastAsia="zh-CN"/>
              </w:rPr>
            </w:pPr>
            <w:r>
              <w:rPr>
                <w:spacing w:val="-2"/>
                <w:lang w:eastAsia="zh-CN"/>
              </w:rPr>
              <w:t>每发现一处不规</w:t>
            </w:r>
          </w:p>
          <w:p w14:paraId="22CB1865">
            <w:pPr>
              <w:pStyle w:val="43"/>
              <w:spacing w:before="25" w:line="220" w:lineRule="auto"/>
              <w:ind w:left="467"/>
              <w:rPr>
                <w:lang w:eastAsia="zh-CN"/>
              </w:rPr>
            </w:pPr>
            <w:r>
              <w:rPr>
                <w:lang w:eastAsia="zh-CN"/>
              </w:rPr>
              <w:t>范扣2分。</w:t>
            </w:r>
          </w:p>
        </w:tc>
        <w:tc>
          <w:tcPr>
            <w:tcW w:w="704" w:type="dxa"/>
            <w:noWrap w:val="0"/>
            <w:vAlign w:val="top"/>
          </w:tcPr>
          <w:p w14:paraId="097D4F66">
            <w:pPr>
              <w:rPr>
                <w:rFonts w:ascii="Arial"/>
              </w:rPr>
            </w:pPr>
          </w:p>
        </w:tc>
      </w:tr>
      <w:tr w14:paraId="766AE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774" w:type="dxa"/>
            <w:noWrap w:val="0"/>
            <w:vAlign w:val="center"/>
          </w:tcPr>
          <w:p w14:paraId="5391E3C9">
            <w:pPr>
              <w:spacing w:line="246" w:lineRule="auto"/>
              <w:rPr>
                <w:rFonts w:ascii="Arial"/>
              </w:rPr>
            </w:pPr>
          </w:p>
          <w:p w14:paraId="46012512">
            <w:pPr>
              <w:spacing w:line="247" w:lineRule="auto"/>
              <w:rPr>
                <w:rFonts w:ascii="Arial"/>
              </w:rPr>
            </w:pPr>
          </w:p>
          <w:p w14:paraId="5C01405A">
            <w:pPr>
              <w:spacing w:line="247" w:lineRule="auto"/>
              <w:rPr>
                <w:rFonts w:ascii="Arial"/>
              </w:rPr>
            </w:pPr>
          </w:p>
          <w:p w14:paraId="315782EF">
            <w:pPr>
              <w:spacing w:line="247" w:lineRule="auto"/>
              <w:rPr>
                <w:rFonts w:ascii="Arial"/>
              </w:rPr>
            </w:pPr>
          </w:p>
          <w:p w14:paraId="459D5243">
            <w:pPr>
              <w:pStyle w:val="43"/>
              <w:spacing w:before="78" w:line="182" w:lineRule="auto"/>
              <w:ind w:left="314"/>
              <w:rPr>
                <w:rFonts w:hint="eastAsia"/>
                <w:lang w:eastAsia="zh-CN"/>
              </w:rPr>
            </w:pPr>
            <w:r>
              <w:rPr>
                <w:rFonts w:hint="eastAsia"/>
                <w:lang w:eastAsia="zh-CN"/>
              </w:rPr>
              <w:t>5</w:t>
            </w:r>
          </w:p>
        </w:tc>
        <w:tc>
          <w:tcPr>
            <w:tcW w:w="1338" w:type="dxa"/>
            <w:noWrap w:val="0"/>
            <w:vAlign w:val="center"/>
          </w:tcPr>
          <w:p w14:paraId="2839E5E3">
            <w:pPr>
              <w:spacing w:line="313" w:lineRule="auto"/>
              <w:rPr>
                <w:rFonts w:ascii="Arial"/>
              </w:rPr>
            </w:pPr>
          </w:p>
          <w:p w14:paraId="11554BE9">
            <w:pPr>
              <w:spacing w:line="314" w:lineRule="auto"/>
              <w:rPr>
                <w:rFonts w:ascii="Arial"/>
              </w:rPr>
            </w:pPr>
          </w:p>
          <w:p w14:paraId="2EC55202">
            <w:pPr>
              <w:pStyle w:val="43"/>
              <w:spacing w:before="78" w:line="220" w:lineRule="auto"/>
              <w:ind w:left="180"/>
            </w:pPr>
            <w:r>
              <w:rPr>
                <w:spacing w:val="3"/>
              </w:rPr>
              <w:t>食品加工</w:t>
            </w:r>
          </w:p>
          <w:p w14:paraId="06F32E89">
            <w:pPr>
              <w:pStyle w:val="43"/>
              <w:spacing w:before="33" w:line="220" w:lineRule="auto"/>
              <w:ind w:left="180"/>
            </w:pPr>
            <w:r>
              <w:rPr>
                <w:spacing w:val="-2"/>
              </w:rPr>
              <w:t>及工作标</w:t>
            </w:r>
          </w:p>
          <w:p w14:paraId="4AA523D5">
            <w:pPr>
              <w:pStyle w:val="43"/>
              <w:spacing w:before="44" w:line="221" w:lineRule="auto"/>
              <w:ind w:left="540"/>
            </w:pPr>
            <w:r>
              <w:t>准</w:t>
            </w:r>
          </w:p>
        </w:tc>
        <w:tc>
          <w:tcPr>
            <w:tcW w:w="3836" w:type="dxa"/>
            <w:noWrap w:val="0"/>
            <w:vAlign w:val="top"/>
          </w:tcPr>
          <w:p w14:paraId="04FAE474">
            <w:pPr>
              <w:pStyle w:val="43"/>
              <w:spacing w:before="49" w:line="254" w:lineRule="auto"/>
              <w:ind w:left="121" w:right="100" w:hanging="9"/>
              <w:rPr>
                <w:lang w:eastAsia="zh-CN"/>
              </w:rPr>
            </w:pPr>
            <w:r>
              <w:rPr>
                <w:lang w:eastAsia="zh-CN"/>
              </w:rPr>
              <w:t>1.厨房粗加工是否按要求执行，有</w:t>
            </w:r>
            <w:r>
              <w:rPr>
                <w:spacing w:val="11"/>
                <w:lang w:eastAsia="zh-CN"/>
              </w:rPr>
              <w:t xml:space="preserve"> </w:t>
            </w:r>
            <w:r>
              <w:rPr>
                <w:lang w:eastAsia="zh-CN"/>
              </w:rPr>
              <w:t>没违反操作规范。</w:t>
            </w:r>
          </w:p>
          <w:p w14:paraId="610568ED">
            <w:pPr>
              <w:pStyle w:val="43"/>
              <w:spacing w:before="2" w:line="238" w:lineRule="auto"/>
              <w:ind w:left="121" w:right="98" w:hanging="9"/>
              <w:rPr>
                <w:lang w:eastAsia="zh-CN"/>
              </w:rPr>
            </w:pPr>
            <w:r>
              <w:rPr>
                <w:lang w:eastAsia="zh-CN"/>
              </w:rPr>
              <w:t>2.需要熟制加工的食品是否清洗于</w:t>
            </w:r>
            <w:r>
              <w:rPr>
                <w:spacing w:val="13"/>
                <w:lang w:eastAsia="zh-CN"/>
              </w:rPr>
              <w:t xml:space="preserve"> </w:t>
            </w:r>
            <w:r>
              <w:rPr>
                <w:spacing w:val="12"/>
                <w:lang w:eastAsia="zh-CN"/>
              </w:rPr>
              <w:t>净或者是否烧熟煮透；</w:t>
            </w:r>
          </w:p>
          <w:p w14:paraId="0795B23B">
            <w:pPr>
              <w:pStyle w:val="43"/>
              <w:spacing w:before="49" w:line="254" w:lineRule="auto"/>
              <w:ind w:left="83" w:right="111"/>
              <w:rPr>
                <w:spacing w:val="-2"/>
                <w:lang w:eastAsia="zh-CN"/>
              </w:rPr>
            </w:pPr>
            <w:r>
              <w:rPr>
                <w:spacing w:val="-4"/>
                <w:lang w:eastAsia="zh-CN"/>
              </w:rPr>
              <w:t>3.烹调出品、成品的监管是否到位，</w:t>
            </w:r>
            <w:r>
              <w:rPr>
                <w:lang w:eastAsia="zh-CN"/>
              </w:rPr>
              <w:t xml:space="preserve"> </w:t>
            </w:r>
            <w:r>
              <w:rPr>
                <w:spacing w:val="-2"/>
                <w:lang w:eastAsia="zh-CN"/>
              </w:rPr>
              <w:t>如操作把关不严，涉及食品安全问</w:t>
            </w:r>
            <w:r>
              <w:rPr>
                <w:spacing w:val="1"/>
                <w:lang w:eastAsia="zh-CN"/>
              </w:rPr>
              <w:t xml:space="preserve">  </w:t>
            </w:r>
            <w:r>
              <w:rPr>
                <w:spacing w:val="-2"/>
                <w:lang w:eastAsia="zh-CN"/>
              </w:rPr>
              <w:t>题。</w:t>
            </w:r>
          </w:p>
          <w:p w14:paraId="59C025E0">
            <w:pPr>
              <w:pStyle w:val="43"/>
              <w:spacing w:before="49" w:line="254" w:lineRule="auto"/>
              <w:ind w:left="83" w:right="111"/>
              <w:rPr>
                <w:lang w:eastAsia="zh-CN"/>
              </w:rPr>
            </w:pPr>
            <w:r>
              <w:rPr>
                <w:spacing w:val="-1"/>
                <w:lang w:eastAsia="zh-CN"/>
              </w:rPr>
              <w:t>4.是否按规范程序要求进行加工或</w:t>
            </w:r>
            <w:r>
              <w:rPr>
                <w:spacing w:val="6"/>
                <w:lang w:eastAsia="zh-CN"/>
              </w:rPr>
              <w:t xml:space="preserve"> </w:t>
            </w:r>
            <w:r>
              <w:rPr>
                <w:spacing w:val="-1"/>
                <w:lang w:eastAsia="zh-CN"/>
              </w:rPr>
              <w:t>不按规范操作造成质品问题。</w:t>
            </w:r>
          </w:p>
          <w:p w14:paraId="35B4F768">
            <w:pPr>
              <w:pStyle w:val="43"/>
              <w:spacing w:before="1"/>
              <w:ind w:left="83" w:right="53" w:firstLine="29"/>
              <w:rPr>
                <w:lang w:eastAsia="zh-CN"/>
              </w:rPr>
            </w:pPr>
            <w:r>
              <w:rPr>
                <w:spacing w:val="1"/>
                <w:lang w:eastAsia="zh-CN"/>
              </w:rPr>
              <w:t>5.冰箱食品原料储存是否有区分和</w:t>
            </w:r>
            <w:r>
              <w:rPr>
                <w:spacing w:val="2"/>
                <w:lang w:eastAsia="zh-CN"/>
              </w:rPr>
              <w:t xml:space="preserve"> </w:t>
            </w:r>
            <w:r>
              <w:rPr>
                <w:spacing w:val="-1"/>
                <w:lang w:eastAsia="zh-CN"/>
              </w:rPr>
              <w:t>贴标识，是否存在过期。</w:t>
            </w:r>
          </w:p>
          <w:p w14:paraId="6223B760">
            <w:pPr>
              <w:pStyle w:val="43"/>
              <w:spacing w:before="26" w:line="222" w:lineRule="auto"/>
              <w:ind w:left="101" w:hanging="49"/>
              <w:rPr>
                <w:lang w:eastAsia="zh-CN"/>
              </w:rPr>
            </w:pPr>
            <w:r>
              <w:rPr>
                <w:spacing w:val="-1"/>
                <w:lang w:eastAsia="zh-CN"/>
              </w:rPr>
              <w:t>6.熟制品存放的温度和时间是否符</w:t>
            </w:r>
            <w:r>
              <w:rPr>
                <w:spacing w:val="7"/>
                <w:lang w:eastAsia="zh-CN"/>
              </w:rPr>
              <w:t xml:space="preserve"> </w:t>
            </w:r>
            <w:r>
              <w:rPr>
                <w:spacing w:val="6"/>
                <w:lang w:eastAsia="zh-CN"/>
              </w:rPr>
              <w:t>合要求；直接入口食品、半成品、</w:t>
            </w:r>
            <w:r>
              <w:rPr>
                <w:spacing w:val="11"/>
                <w:lang w:eastAsia="zh-CN"/>
              </w:rPr>
              <w:t xml:space="preserve"> </w:t>
            </w:r>
            <w:r>
              <w:rPr>
                <w:spacing w:val="-1"/>
                <w:lang w:eastAsia="zh-CN"/>
              </w:rPr>
              <w:t>是否分开存放。</w:t>
            </w:r>
          </w:p>
        </w:tc>
        <w:tc>
          <w:tcPr>
            <w:tcW w:w="749" w:type="dxa"/>
            <w:noWrap w:val="0"/>
            <w:vAlign w:val="top"/>
          </w:tcPr>
          <w:p w14:paraId="4EF67F0A">
            <w:pPr>
              <w:spacing w:line="308" w:lineRule="auto"/>
              <w:rPr>
                <w:rFonts w:ascii="Arial"/>
              </w:rPr>
            </w:pPr>
          </w:p>
          <w:p w14:paraId="1016837E">
            <w:pPr>
              <w:spacing w:line="308" w:lineRule="auto"/>
              <w:rPr>
                <w:rFonts w:ascii="Arial"/>
              </w:rPr>
            </w:pPr>
          </w:p>
          <w:p w14:paraId="6A1E1637">
            <w:pPr>
              <w:spacing w:line="309" w:lineRule="auto"/>
              <w:rPr>
                <w:rFonts w:ascii="Arial"/>
              </w:rPr>
            </w:pPr>
          </w:p>
          <w:p w14:paraId="4025ADFB">
            <w:pPr>
              <w:pStyle w:val="43"/>
              <w:spacing w:before="78" w:line="220" w:lineRule="auto"/>
              <w:ind w:left="186"/>
            </w:pPr>
            <w:r>
              <w:rPr>
                <w:spacing w:val="5"/>
              </w:rPr>
              <w:t>8分</w:t>
            </w:r>
          </w:p>
        </w:tc>
        <w:tc>
          <w:tcPr>
            <w:tcW w:w="1908" w:type="dxa"/>
            <w:noWrap w:val="0"/>
            <w:vAlign w:val="top"/>
          </w:tcPr>
          <w:p w14:paraId="6BD4D6EE">
            <w:pPr>
              <w:spacing w:line="265" w:lineRule="auto"/>
              <w:rPr>
                <w:rFonts w:ascii="Arial"/>
              </w:rPr>
            </w:pPr>
          </w:p>
          <w:p w14:paraId="3C1A85AC">
            <w:pPr>
              <w:spacing w:line="265" w:lineRule="auto"/>
              <w:rPr>
                <w:rFonts w:ascii="Arial"/>
              </w:rPr>
            </w:pPr>
          </w:p>
          <w:p w14:paraId="01C438F5">
            <w:pPr>
              <w:spacing w:line="266" w:lineRule="auto"/>
              <w:rPr>
                <w:rFonts w:ascii="Arial"/>
              </w:rPr>
            </w:pPr>
          </w:p>
          <w:p w14:paraId="0BF67A31">
            <w:pPr>
              <w:pStyle w:val="43"/>
              <w:spacing w:before="78" w:line="219" w:lineRule="auto"/>
              <w:ind w:left="108"/>
              <w:rPr>
                <w:lang w:eastAsia="zh-CN"/>
              </w:rPr>
            </w:pPr>
            <w:r>
              <w:rPr>
                <w:spacing w:val="-2"/>
                <w:lang w:eastAsia="zh-CN"/>
              </w:rPr>
              <w:t>每发现一处不规</w:t>
            </w:r>
          </w:p>
          <w:p w14:paraId="05B75D8F">
            <w:pPr>
              <w:pStyle w:val="43"/>
              <w:spacing w:before="25" w:line="220" w:lineRule="auto"/>
              <w:ind w:left="467"/>
              <w:rPr>
                <w:lang w:eastAsia="zh-CN"/>
              </w:rPr>
            </w:pPr>
            <w:r>
              <w:rPr>
                <w:lang w:eastAsia="zh-CN"/>
              </w:rPr>
              <w:t>范扣2分。</w:t>
            </w:r>
          </w:p>
        </w:tc>
        <w:tc>
          <w:tcPr>
            <w:tcW w:w="704" w:type="dxa"/>
            <w:noWrap w:val="0"/>
            <w:vAlign w:val="top"/>
          </w:tcPr>
          <w:p w14:paraId="22B0963E">
            <w:pPr>
              <w:rPr>
                <w:rFonts w:ascii="Arial"/>
              </w:rPr>
            </w:pPr>
          </w:p>
        </w:tc>
      </w:tr>
      <w:tr w14:paraId="4F2D95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3" w:hRule="atLeast"/>
        </w:trPr>
        <w:tc>
          <w:tcPr>
            <w:tcW w:w="774" w:type="dxa"/>
            <w:noWrap w:val="0"/>
            <w:vAlign w:val="center"/>
          </w:tcPr>
          <w:p w14:paraId="41C11BF6">
            <w:pPr>
              <w:spacing w:line="261" w:lineRule="auto"/>
              <w:rPr>
                <w:rFonts w:ascii="Arial"/>
              </w:rPr>
            </w:pPr>
          </w:p>
          <w:p w14:paraId="05A21855">
            <w:pPr>
              <w:spacing w:line="261" w:lineRule="auto"/>
              <w:rPr>
                <w:rFonts w:ascii="Arial"/>
              </w:rPr>
            </w:pPr>
          </w:p>
          <w:p w14:paraId="21A55F76">
            <w:pPr>
              <w:spacing w:line="261" w:lineRule="auto"/>
              <w:rPr>
                <w:rFonts w:ascii="Arial"/>
              </w:rPr>
            </w:pPr>
          </w:p>
          <w:p w14:paraId="55DE9E1C">
            <w:pPr>
              <w:spacing w:line="262" w:lineRule="auto"/>
              <w:rPr>
                <w:rFonts w:ascii="Arial"/>
              </w:rPr>
            </w:pPr>
          </w:p>
          <w:p w14:paraId="77F52F1B">
            <w:pPr>
              <w:spacing w:line="262" w:lineRule="auto"/>
              <w:rPr>
                <w:rFonts w:ascii="Arial"/>
              </w:rPr>
            </w:pPr>
          </w:p>
          <w:p w14:paraId="49DB61D3">
            <w:pPr>
              <w:pStyle w:val="43"/>
              <w:spacing w:before="78" w:line="183" w:lineRule="auto"/>
              <w:ind w:left="314"/>
              <w:rPr>
                <w:rFonts w:hint="eastAsia"/>
                <w:lang w:eastAsia="zh-CN"/>
              </w:rPr>
            </w:pPr>
            <w:r>
              <w:rPr>
                <w:rFonts w:hint="eastAsia"/>
                <w:lang w:eastAsia="zh-CN"/>
              </w:rPr>
              <w:t>6</w:t>
            </w:r>
          </w:p>
        </w:tc>
        <w:tc>
          <w:tcPr>
            <w:tcW w:w="1338" w:type="dxa"/>
            <w:noWrap w:val="0"/>
            <w:vAlign w:val="center"/>
          </w:tcPr>
          <w:p w14:paraId="50DA5A9D">
            <w:pPr>
              <w:spacing w:line="316" w:lineRule="auto"/>
              <w:rPr>
                <w:rFonts w:ascii="Arial"/>
              </w:rPr>
            </w:pPr>
          </w:p>
          <w:p w14:paraId="4F5ED6BE">
            <w:pPr>
              <w:spacing w:line="316" w:lineRule="auto"/>
              <w:rPr>
                <w:rFonts w:ascii="Arial"/>
              </w:rPr>
            </w:pPr>
          </w:p>
          <w:p w14:paraId="044ECE49">
            <w:pPr>
              <w:spacing w:line="316" w:lineRule="auto"/>
              <w:rPr>
                <w:rFonts w:ascii="Arial"/>
              </w:rPr>
            </w:pPr>
          </w:p>
          <w:p w14:paraId="0F5B6DDF">
            <w:pPr>
              <w:pStyle w:val="43"/>
              <w:spacing w:before="78" w:line="220" w:lineRule="auto"/>
              <w:ind w:left="180"/>
              <w:rPr>
                <w:spacing w:val="3"/>
              </w:rPr>
            </w:pPr>
            <w:r>
              <w:rPr>
                <w:spacing w:val="3"/>
              </w:rPr>
              <w:t>餐具清洗、</w:t>
            </w:r>
          </w:p>
          <w:p w14:paraId="50D6006E">
            <w:pPr>
              <w:pStyle w:val="43"/>
              <w:spacing w:before="78" w:line="220" w:lineRule="auto"/>
              <w:ind w:left="180"/>
              <w:rPr>
                <w:spacing w:val="3"/>
              </w:rPr>
            </w:pPr>
            <w:r>
              <w:rPr>
                <w:spacing w:val="3"/>
              </w:rPr>
              <w:t>消毒和保</w:t>
            </w:r>
          </w:p>
          <w:p w14:paraId="721CC099">
            <w:pPr>
              <w:pStyle w:val="43"/>
              <w:spacing w:before="78" w:line="220" w:lineRule="auto"/>
              <w:ind w:left="180"/>
            </w:pPr>
            <w:r>
              <w:rPr>
                <w:spacing w:val="3"/>
              </w:rPr>
              <w:t>洁</w:t>
            </w:r>
          </w:p>
        </w:tc>
        <w:tc>
          <w:tcPr>
            <w:tcW w:w="3836" w:type="dxa"/>
            <w:noWrap w:val="0"/>
            <w:vAlign w:val="top"/>
          </w:tcPr>
          <w:p w14:paraId="44043203">
            <w:pPr>
              <w:pStyle w:val="43"/>
              <w:spacing w:before="82" w:line="234" w:lineRule="auto"/>
              <w:ind w:left="83" w:right="59" w:firstLine="29"/>
              <w:rPr>
                <w:lang w:eastAsia="zh-CN"/>
              </w:rPr>
            </w:pPr>
            <w:r>
              <w:rPr>
                <w:lang w:eastAsia="zh-CN"/>
              </w:rPr>
              <w:t>1.采用热力方法的消毒温度和消毒</w:t>
            </w:r>
            <w:r>
              <w:rPr>
                <w:spacing w:val="12"/>
                <w:lang w:eastAsia="zh-CN"/>
              </w:rPr>
              <w:t xml:space="preserve"> </w:t>
            </w:r>
            <w:r>
              <w:rPr>
                <w:spacing w:val="13"/>
                <w:lang w:eastAsia="zh-CN"/>
              </w:rPr>
              <w:t>时间是否达到要求；</w:t>
            </w:r>
          </w:p>
          <w:p w14:paraId="00C46E06">
            <w:pPr>
              <w:pStyle w:val="43"/>
              <w:spacing w:before="31" w:line="235" w:lineRule="auto"/>
              <w:ind w:left="83" w:right="80" w:firstLine="9"/>
              <w:rPr>
                <w:lang w:eastAsia="zh-CN"/>
              </w:rPr>
            </w:pPr>
            <w:r>
              <w:rPr>
                <w:lang w:eastAsia="zh-CN"/>
              </w:rPr>
              <w:t>2.餐具的消毒效果是否符合标准要</w:t>
            </w:r>
            <w:r>
              <w:rPr>
                <w:spacing w:val="11"/>
                <w:lang w:eastAsia="zh-CN"/>
              </w:rPr>
              <w:t xml:space="preserve"> </w:t>
            </w:r>
            <w:r>
              <w:rPr>
                <w:spacing w:val="-6"/>
                <w:lang w:eastAsia="zh-CN"/>
              </w:rPr>
              <w:t>求</w:t>
            </w:r>
            <w:r>
              <w:rPr>
                <w:spacing w:val="67"/>
                <w:lang w:eastAsia="zh-CN"/>
              </w:rPr>
              <w:t xml:space="preserve"> </w:t>
            </w:r>
            <w:r>
              <w:rPr>
                <w:spacing w:val="-6"/>
                <w:lang w:eastAsia="zh-CN"/>
              </w:rPr>
              <w:t>；</w:t>
            </w:r>
          </w:p>
          <w:p w14:paraId="15C5FA50">
            <w:pPr>
              <w:pStyle w:val="43"/>
              <w:spacing w:before="8" w:line="256" w:lineRule="auto"/>
              <w:ind w:left="82" w:right="104" w:hanging="9"/>
              <w:rPr>
                <w:lang w:eastAsia="zh-CN"/>
              </w:rPr>
            </w:pPr>
            <w:r>
              <w:rPr>
                <w:lang w:eastAsia="zh-CN"/>
              </w:rPr>
              <w:t>3.消毒后的餐具是否贮存在专用保</w:t>
            </w:r>
            <w:r>
              <w:rPr>
                <w:spacing w:val="7"/>
                <w:lang w:eastAsia="zh-CN"/>
              </w:rPr>
              <w:t xml:space="preserve"> </w:t>
            </w:r>
            <w:r>
              <w:rPr>
                <w:spacing w:val="17"/>
                <w:lang w:eastAsia="zh-CN"/>
              </w:rPr>
              <w:t>洁设施内备用；</w:t>
            </w:r>
          </w:p>
          <w:p w14:paraId="78818263">
            <w:pPr>
              <w:pStyle w:val="43"/>
              <w:spacing w:before="14" w:line="229" w:lineRule="auto"/>
              <w:ind w:left="83"/>
              <w:rPr>
                <w:lang w:eastAsia="zh-CN"/>
              </w:rPr>
            </w:pPr>
            <w:r>
              <w:rPr>
                <w:spacing w:val="6"/>
                <w:lang w:eastAsia="zh-CN"/>
              </w:rPr>
              <w:t>4.冰箱是否分类存放，定期清洗、</w:t>
            </w:r>
            <w:r>
              <w:rPr>
                <w:spacing w:val="5"/>
                <w:lang w:eastAsia="zh-CN"/>
              </w:rPr>
              <w:t xml:space="preserve"> </w:t>
            </w:r>
            <w:r>
              <w:rPr>
                <w:spacing w:val="-12"/>
                <w:lang w:eastAsia="zh-CN"/>
              </w:rPr>
              <w:t>除 霜</w:t>
            </w:r>
            <w:r>
              <w:rPr>
                <w:spacing w:val="-21"/>
                <w:lang w:eastAsia="zh-CN"/>
              </w:rPr>
              <w:t xml:space="preserve"> </w:t>
            </w:r>
            <w:r>
              <w:rPr>
                <w:spacing w:val="-12"/>
                <w:lang w:eastAsia="zh-CN"/>
              </w:rPr>
              <w:t>；</w:t>
            </w:r>
          </w:p>
          <w:p w14:paraId="3AF3894C">
            <w:pPr>
              <w:pStyle w:val="43"/>
              <w:spacing w:before="5" w:line="197" w:lineRule="auto"/>
              <w:ind w:left="83"/>
              <w:rPr>
                <w:lang w:eastAsia="zh-CN"/>
              </w:rPr>
            </w:pPr>
            <w:r>
              <w:rPr>
                <w:lang w:eastAsia="zh-CN"/>
              </w:rPr>
              <w:t>5.清洁用品是否分色分区使用。</w:t>
            </w:r>
          </w:p>
        </w:tc>
        <w:tc>
          <w:tcPr>
            <w:tcW w:w="749" w:type="dxa"/>
            <w:noWrap w:val="0"/>
            <w:vAlign w:val="top"/>
          </w:tcPr>
          <w:p w14:paraId="1492D5A1">
            <w:pPr>
              <w:spacing w:line="249" w:lineRule="auto"/>
              <w:rPr>
                <w:rFonts w:ascii="Arial"/>
              </w:rPr>
            </w:pPr>
          </w:p>
          <w:p w14:paraId="2084227C">
            <w:pPr>
              <w:spacing w:line="249" w:lineRule="auto"/>
              <w:rPr>
                <w:rFonts w:ascii="Arial"/>
              </w:rPr>
            </w:pPr>
          </w:p>
          <w:p w14:paraId="271BCAA5">
            <w:pPr>
              <w:spacing w:line="249" w:lineRule="auto"/>
              <w:rPr>
                <w:rFonts w:ascii="Arial"/>
              </w:rPr>
            </w:pPr>
          </w:p>
          <w:p w14:paraId="774EDE29">
            <w:pPr>
              <w:spacing w:line="250" w:lineRule="auto"/>
              <w:rPr>
                <w:rFonts w:ascii="Arial"/>
              </w:rPr>
            </w:pPr>
          </w:p>
          <w:p w14:paraId="05221377">
            <w:pPr>
              <w:spacing w:line="250" w:lineRule="auto"/>
              <w:rPr>
                <w:rFonts w:ascii="Arial"/>
              </w:rPr>
            </w:pPr>
          </w:p>
          <w:p w14:paraId="60753D6E">
            <w:pPr>
              <w:pStyle w:val="43"/>
              <w:spacing w:before="78" w:line="220" w:lineRule="auto"/>
              <w:ind w:left="187"/>
            </w:pPr>
            <w:r>
              <w:rPr>
                <w:spacing w:val="5"/>
              </w:rPr>
              <w:t>8分</w:t>
            </w:r>
          </w:p>
        </w:tc>
        <w:tc>
          <w:tcPr>
            <w:tcW w:w="1908" w:type="dxa"/>
            <w:noWrap w:val="0"/>
            <w:vAlign w:val="top"/>
          </w:tcPr>
          <w:p w14:paraId="0209A10E">
            <w:pPr>
              <w:spacing w:line="281" w:lineRule="auto"/>
              <w:rPr>
                <w:rFonts w:ascii="Arial"/>
              </w:rPr>
            </w:pPr>
          </w:p>
          <w:p w14:paraId="45018587">
            <w:pPr>
              <w:spacing w:line="282" w:lineRule="auto"/>
              <w:rPr>
                <w:rFonts w:ascii="Arial"/>
              </w:rPr>
            </w:pPr>
          </w:p>
          <w:p w14:paraId="46441FE5">
            <w:pPr>
              <w:spacing w:line="282" w:lineRule="auto"/>
              <w:rPr>
                <w:rFonts w:ascii="Arial"/>
              </w:rPr>
            </w:pPr>
          </w:p>
          <w:p w14:paraId="2770F7C0">
            <w:pPr>
              <w:spacing w:line="282" w:lineRule="auto"/>
              <w:rPr>
                <w:rFonts w:ascii="Arial"/>
              </w:rPr>
            </w:pPr>
          </w:p>
          <w:p w14:paraId="1586E973">
            <w:pPr>
              <w:pStyle w:val="43"/>
              <w:spacing w:before="78" w:line="219" w:lineRule="auto"/>
              <w:ind w:left="108"/>
              <w:rPr>
                <w:lang w:eastAsia="zh-CN"/>
              </w:rPr>
            </w:pPr>
            <w:r>
              <w:rPr>
                <w:spacing w:val="-2"/>
                <w:lang w:eastAsia="zh-CN"/>
              </w:rPr>
              <w:t>每发现一处不规</w:t>
            </w:r>
          </w:p>
          <w:p w14:paraId="63F885E1">
            <w:pPr>
              <w:pStyle w:val="43"/>
              <w:spacing w:before="35" w:line="220" w:lineRule="auto"/>
              <w:ind w:left="468"/>
              <w:rPr>
                <w:lang w:eastAsia="zh-CN"/>
              </w:rPr>
            </w:pPr>
            <w:r>
              <w:rPr>
                <w:lang w:eastAsia="zh-CN"/>
              </w:rPr>
              <w:t>范扣2分。</w:t>
            </w:r>
          </w:p>
        </w:tc>
        <w:tc>
          <w:tcPr>
            <w:tcW w:w="704" w:type="dxa"/>
            <w:noWrap w:val="0"/>
            <w:vAlign w:val="top"/>
          </w:tcPr>
          <w:p w14:paraId="5EBE720C">
            <w:pPr>
              <w:rPr>
                <w:rFonts w:ascii="Arial"/>
              </w:rPr>
            </w:pPr>
          </w:p>
        </w:tc>
      </w:tr>
      <w:tr w14:paraId="21D7E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3" w:hRule="atLeast"/>
        </w:trPr>
        <w:tc>
          <w:tcPr>
            <w:tcW w:w="774" w:type="dxa"/>
            <w:noWrap w:val="0"/>
            <w:vAlign w:val="center"/>
          </w:tcPr>
          <w:p w14:paraId="3637DC0B">
            <w:pPr>
              <w:spacing w:line="287" w:lineRule="auto"/>
              <w:rPr>
                <w:rFonts w:ascii="Arial"/>
              </w:rPr>
            </w:pPr>
          </w:p>
          <w:p w14:paraId="5FDD3E8F">
            <w:pPr>
              <w:spacing w:line="287" w:lineRule="auto"/>
              <w:rPr>
                <w:rFonts w:ascii="Arial"/>
              </w:rPr>
            </w:pPr>
          </w:p>
          <w:p w14:paraId="21BF4D95">
            <w:pPr>
              <w:spacing w:line="288" w:lineRule="auto"/>
              <w:rPr>
                <w:rFonts w:ascii="Arial"/>
              </w:rPr>
            </w:pPr>
          </w:p>
          <w:p w14:paraId="3633D7B5">
            <w:pPr>
              <w:spacing w:line="288" w:lineRule="auto"/>
              <w:rPr>
                <w:rFonts w:ascii="Arial"/>
              </w:rPr>
            </w:pPr>
          </w:p>
          <w:p w14:paraId="7A407BBE">
            <w:pPr>
              <w:pStyle w:val="43"/>
              <w:spacing w:before="78" w:line="183" w:lineRule="auto"/>
              <w:ind w:left="314"/>
              <w:rPr>
                <w:rFonts w:hint="eastAsia"/>
                <w:lang w:eastAsia="zh-CN"/>
              </w:rPr>
            </w:pPr>
            <w:r>
              <w:rPr>
                <w:rFonts w:hint="eastAsia"/>
                <w:lang w:eastAsia="zh-CN"/>
              </w:rPr>
              <w:t>7</w:t>
            </w:r>
          </w:p>
        </w:tc>
        <w:tc>
          <w:tcPr>
            <w:tcW w:w="1338" w:type="dxa"/>
            <w:noWrap w:val="0"/>
            <w:vAlign w:val="center"/>
          </w:tcPr>
          <w:p w14:paraId="72887FD6">
            <w:pPr>
              <w:spacing w:line="270" w:lineRule="auto"/>
              <w:rPr>
                <w:rFonts w:ascii="Arial"/>
              </w:rPr>
            </w:pPr>
          </w:p>
          <w:p w14:paraId="71C93068">
            <w:pPr>
              <w:spacing w:line="270" w:lineRule="auto"/>
              <w:rPr>
                <w:rFonts w:ascii="Arial"/>
              </w:rPr>
            </w:pPr>
          </w:p>
          <w:p w14:paraId="0ED0FA65">
            <w:pPr>
              <w:spacing w:line="271" w:lineRule="auto"/>
              <w:rPr>
                <w:rFonts w:ascii="Arial"/>
              </w:rPr>
            </w:pPr>
          </w:p>
          <w:p w14:paraId="402ADE09">
            <w:pPr>
              <w:pStyle w:val="43"/>
              <w:spacing w:before="78" w:line="219" w:lineRule="auto"/>
              <w:rPr>
                <w:lang w:eastAsia="zh-CN"/>
              </w:rPr>
            </w:pPr>
            <w:r>
              <w:rPr>
                <w:spacing w:val="11"/>
                <w:lang w:eastAsia="zh-CN"/>
              </w:rPr>
              <w:t>饭菜份量、</w:t>
            </w:r>
          </w:p>
          <w:p w14:paraId="24C443E9">
            <w:pPr>
              <w:pStyle w:val="43"/>
              <w:spacing w:before="15" w:line="219" w:lineRule="auto"/>
              <w:ind w:left="171"/>
              <w:rPr>
                <w:lang w:eastAsia="zh-CN"/>
              </w:rPr>
            </w:pPr>
            <w:r>
              <w:rPr>
                <w:spacing w:val="2"/>
                <w:lang w:eastAsia="zh-CN"/>
              </w:rPr>
              <w:t>质量及菜</w:t>
            </w:r>
          </w:p>
          <w:p w14:paraId="5A5899CC">
            <w:pPr>
              <w:pStyle w:val="43"/>
              <w:spacing w:before="45" w:line="220" w:lineRule="auto"/>
              <w:ind w:left="291"/>
              <w:rPr>
                <w:lang w:eastAsia="zh-CN"/>
              </w:rPr>
            </w:pPr>
            <w:r>
              <w:rPr>
                <w:spacing w:val="3"/>
                <w:lang w:eastAsia="zh-CN"/>
              </w:rPr>
              <w:t>式搭配</w:t>
            </w:r>
          </w:p>
        </w:tc>
        <w:tc>
          <w:tcPr>
            <w:tcW w:w="3836" w:type="dxa"/>
            <w:noWrap w:val="0"/>
            <w:vAlign w:val="top"/>
          </w:tcPr>
          <w:p w14:paraId="31932FF0">
            <w:pPr>
              <w:pStyle w:val="43"/>
              <w:spacing w:before="92" w:line="230" w:lineRule="auto"/>
              <w:ind w:left="83" w:right="1662"/>
              <w:rPr>
                <w:lang w:eastAsia="zh-CN"/>
              </w:rPr>
            </w:pPr>
            <w:r>
              <w:rPr>
                <w:spacing w:val="13"/>
                <w:lang w:eastAsia="zh-CN"/>
              </w:rPr>
              <w:t>1.份量是否足够；</w:t>
            </w:r>
            <w:r>
              <w:rPr>
                <w:spacing w:val="1"/>
                <w:lang w:eastAsia="zh-CN"/>
              </w:rPr>
              <w:t xml:space="preserve"> </w:t>
            </w:r>
            <w:r>
              <w:rPr>
                <w:spacing w:val="13"/>
                <w:lang w:eastAsia="zh-CN"/>
              </w:rPr>
              <w:t>2.是否卫生可口；</w:t>
            </w:r>
          </w:p>
          <w:p w14:paraId="74E2EC64">
            <w:pPr>
              <w:pStyle w:val="43"/>
              <w:spacing w:before="43" w:line="231" w:lineRule="auto"/>
              <w:ind w:left="83" w:right="323"/>
              <w:rPr>
                <w:lang w:eastAsia="zh-CN"/>
              </w:rPr>
            </w:pPr>
            <w:r>
              <w:rPr>
                <w:spacing w:val="1"/>
                <w:lang w:eastAsia="zh-CN"/>
              </w:rPr>
              <w:t>3.是否每两天对荤菜品种变化调</w:t>
            </w:r>
            <w:r>
              <w:rPr>
                <w:spacing w:val="3"/>
                <w:lang w:eastAsia="zh-CN"/>
              </w:rPr>
              <w:t xml:space="preserve"> </w:t>
            </w:r>
            <w:r>
              <w:rPr>
                <w:spacing w:val="-6"/>
                <w:lang w:eastAsia="zh-CN"/>
              </w:rPr>
              <w:t>整</w:t>
            </w:r>
            <w:r>
              <w:rPr>
                <w:spacing w:val="67"/>
                <w:lang w:eastAsia="zh-CN"/>
              </w:rPr>
              <w:t xml:space="preserve"> </w:t>
            </w:r>
            <w:r>
              <w:rPr>
                <w:spacing w:val="-6"/>
                <w:lang w:eastAsia="zh-CN"/>
              </w:rPr>
              <w:t>；</w:t>
            </w:r>
          </w:p>
          <w:p w14:paraId="082D3ED1">
            <w:pPr>
              <w:pStyle w:val="43"/>
              <w:spacing w:before="39" w:line="231" w:lineRule="auto"/>
              <w:ind w:left="83" w:right="101" w:firstLine="9"/>
              <w:rPr>
                <w:lang w:eastAsia="zh-CN"/>
              </w:rPr>
            </w:pPr>
            <w:r>
              <w:rPr>
                <w:spacing w:val="-1"/>
                <w:lang w:eastAsia="zh-CN"/>
              </w:rPr>
              <w:t>4.是否每三天对蔬菜品种搭配变化</w:t>
            </w:r>
            <w:r>
              <w:rPr>
                <w:spacing w:val="6"/>
                <w:lang w:eastAsia="zh-CN"/>
              </w:rPr>
              <w:t xml:space="preserve"> </w:t>
            </w:r>
            <w:r>
              <w:rPr>
                <w:spacing w:val="-8"/>
                <w:lang w:eastAsia="zh-CN"/>
              </w:rPr>
              <w:t>调</w:t>
            </w:r>
            <w:r>
              <w:rPr>
                <w:spacing w:val="-15"/>
                <w:lang w:eastAsia="zh-CN"/>
              </w:rPr>
              <w:t xml:space="preserve"> </w:t>
            </w:r>
            <w:r>
              <w:rPr>
                <w:spacing w:val="-8"/>
                <w:lang w:eastAsia="zh-CN"/>
              </w:rPr>
              <w:t>整</w:t>
            </w:r>
            <w:r>
              <w:rPr>
                <w:spacing w:val="-26"/>
                <w:lang w:eastAsia="zh-CN"/>
              </w:rPr>
              <w:t xml:space="preserve"> </w:t>
            </w:r>
            <w:r>
              <w:rPr>
                <w:spacing w:val="-8"/>
                <w:lang w:eastAsia="zh-CN"/>
              </w:rPr>
              <w:t>；</w:t>
            </w:r>
          </w:p>
          <w:p w14:paraId="2A25E59C">
            <w:pPr>
              <w:pStyle w:val="43"/>
              <w:spacing w:before="40" w:line="209" w:lineRule="auto"/>
              <w:ind w:left="83" w:right="72" w:firstLine="19"/>
              <w:rPr>
                <w:lang w:eastAsia="zh-CN"/>
              </w:rPr>
            </w:pPr>
            <w:r>
              <w:rPr>
                <w:lang w:eastAsia="zh-CN"/>
              </w:rPr>
              <w:t>5.是否每周对菜品、汤品进行变化</w:t>
            </w:r>
            <w:r>
              <w:rPr>
                <w:spacing w:val="9"/>
                <w:lang w:eastAsia="zh-CN"/>
              </w:rPr>
              <w:t xml:space="preserve"> </w:t>
            </w:r>
            <w:r>
              <w:rPr>
                <w:lang w:eastAsia="zh-CN"/>
              </w:rPr>
              <w:t>更新。</w:t>
            </w:r>
          </w:p>
        </w:tc>
        <w:tc>
          <w:tcPr>
            <w:tcW w:w="749" w:type="dxa"/>
            <w:noWrap w:val="0"/>
            <w:vAlign w:val="top"/>
          </w:tcPr>
          <w:p w14:paraId="1F9C1A1C">
            <w:pPr>
              <w:spacing w:line="272" w:lineRule="auto"/>
              <w:rPr>
                <w:rFonts w:ascii="Arial"/>
              </w:rPr>
            </w:pPr>
          </w:p>
          <w:p w14:paraId="6F752003">
            <w:pPr>
              <w:spacing w:line="272" w:lineRule="auto"/>
              <w:rPr>
                <w:rFonts w:ascii="Arial"/>
              </w:rPr>
            </w:pPr>
          </w:p>
          <w:p w14:paraId="3036D62D">
            <w:pPr>
              <w:spacing w:line="272" w:lineRule="auto"/>
              <w:rPr>
                <w:rFonts w:ascii="Arial"/>
              </w:rPr>
            </w:pPr>
          </w:p>
          <w:p w14:paraId="1697847A">
            <w:pPr>
              <w:spacing w:line="273" w:lineRule="auto"/>
              <w:rPr>
                <w:rFonts w:ascii="Arial"/>
              </w:rPr>
            </w:pPr>
          </w:p>
          <w:p w14:paraId="2C84FEAB">
            <w:pPr>
              <w:pStyle w:val="43"/>
              <w:spacing w:before="78" w:line="220" w:lineRule="auto"/>
              <w:ind w:left="187"/>
            </w:pPr>
            <w:r>
              <w:rPr>
                <w:spacing w:val="5"/>
              </w:rPr>
              <w:t>8分</w:t>
            </w:r>
          </w:p>
        </w:tc>
        <w:tc>
          <w:tcPr>
            <w:tcW w:w="1908" w:type="dxa"/>
            <w:noWrap w:val="0"/>
            <w:vAlign w:val="top"/>
          </w:tcPr>
          <w:p w14:paraId="3F6D450B">
            <w:pPr>
              <w:spacing w:line="313" w:lineRule="auto"/>
              <w:rPr>
                <w:rFonts w:ascii="Arial"/>
              </w:rPr>
            </w:pPr>
          </w:p>
          <w:p w14:paraId="7C50E2A1">
            <w:pPr>
              <w:spacing w:line="313" w:lineRule="auto"/>
              <w:rPr>
                <w:rFonts w:ascii="Arial"/>
              </w:rPr>
            </w:pPr>
          </w:p>
          <w:p w14:paraId="7F8FA35F">
            <w:pPr>
              <w:spacing w:line="314" w:lineRule="auto"/>
              <w:rPr>
                <w:rFonts w:ascii="Arial"/>
              </w:rPr>
            </w:pPr>
          </w:p>
          <w:p w14:paraId="0DB73722">
            <w:pPr>
              <w:pStyle w:val="43"/>
              <w:spacing w:before="78" w:line="219" w:lineRule="auto"/>
              <w:ind w:left="108"/>
              <w:rPr>
                <w:lang w:eastAsia="zh-CN"/>
              </w:rPr>
            </w:pPr>
            <w:r>
              <w:rPr>
                <w:spacing w:val="-2"/>
                <w:lang w:eastAsia="zh-CN"/>
              </w:rPr>
              <w:t>每发现一处不符</w:t>
            </w:r>
          </w:p>
          <w:p w14:paraId="7675A53F">
            <w:pPr>
              <w:pStyle w:val="43"/>
              <w:spacing w:before="55" w:line="220" w:lineRule="auto"/>
              <w:ind w:left="468"/>
              <w:rPr>
                <w:lang w:eastAsia="zh-CN"/>
              </w:rPr>
            </w:pPr>
            <w:r>
              <w:rPr>
                <w:lang w:eastAsia="zh-CN"/>
              </w:rPr>
              <w:t>合扣2分。</w:t>
            </w:r>
          </w:p>
        </w:tc>
        <w:tc>
          <w:tcPr>
            <w:tcW w:w="704" w:type="dxa"/>
            <w:noWrap w:val="0"/>
            <w:vAlign w:val="top"/>
          </w:tcPr>
          <w:p w14:paraId="6DCD6737">
            <w:pPr>
              <w:rPr>
                <w:rFonts w:ascii="Arial"/>
              </w:rPr>
            </w:pPr>
          </w:p>
        </w:tc>
      </w:tr>
      <w:tr w14:paraId="27B7A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74" w:type="dxa"/>
            <w:noWrap w:val="0"/>
            <w:vAlign w:val="center"/>
          </w:tcPr>
          <w:p w14:paraId="6613109C">
            <w:pPr>
              <w:spacing w:line="346" w:lineRule="auto"/>
              <w:rPr>
                <w:rFonts w:ascii="Arial"/>
              </w:rPr>
            </w:pPr>
          </w:p>
          <w:p w14:paraId="505533DE">
            <w:pPr>
              <w:pStyle w:val="43"/>
              <w:spacing w:before="78" w:line="184" w:lineRule="auto"/>
              <w:ind w:left="255"/>
              <w:rPr>
                <w:rFonts w:hint="eastAsia"/>
                <w:lang w:eastAsia="zh-CN"/>
              </w:rPr>
            </w:pPr>
            <w:r>
              <w:rPr>
                <w:rFonts w:hint="eastAsia"/>
                <w:spacing w:val="-7"/>
                <w:lang w:eastAsia="zh-CN"/>
              </w:rPr>
              <w:t>8</w:t>
            </w:r>
          </w:p>
        </w:tc>
        <w:tc>
          <w:tcPr>
            <w:tcW w:w="1338" w:type="dxa"/>
            <w:noWrap w:val="0"/>
            <w:vAlign w:val="center"/>
          </w:tcPr>
          <w:p w14:paraId="600F32CD">
            <w:pPr>
              <w:spacing w:line="286" w:lineRule="auto"/>
              <w:rPr>
                <w:rFonts w:ascii="Arial"/>
              </w:rPr>
            </w:pPr>
          </w:p>
          <w:p w14:paraId="5BB67195">
            <w:pPr>
              <w:pStyle w:val="43"/>
              <w:spacing w:before="78" w:line="219" w:lineRule="auto"/>
              <w:ind w:left="171"/>
            </w:pPr>
            <w:r>
              <w:rPr>
                <w:spacing w:val="3"/>
              </w:rPr>
              <w:t>食品留样</w:t>
            </w:r>
          </w:p>
        </w:tc>
        <w:tc>
          <w:tcPr>
            <w:tcW w:w="3836" w:type="dxa"/>
            <w:noWrap w:val="0"/>
            <w:vAlign w:val="top"/>
          </w:tcPr>
          <w:p w14:paraId="3ADFD98B">
            <w:pPr>
              <w:pStyle w:val="43"/>
              <w:spacing w:before="87" w:line="221" w:lineRule="auto"/>
              <w:ind w:left="83" w:right="90"/>
              <w:rPr>
                <w:lang w:eastAsia="zh-CN"/>
              </w:rPr>
            </w:pPr>
            <w:r>
              <w:rPr>
                <w:lang w:eastAsia="zh-CN"/>
              </w:rPr>
              <w:t>是否按规定留样不少于48小时，是</w:t>
            </w:r>
            <w:r>
              <w:rPr>
                <w:spacing w:val="11"/>
                <w:lang w:eastAsia="zh-CN"/>
              </w:rPr>
              <w:t xml:space="preserve"> </w:t>
            </w:r>
            <w:r>
              <w:rPr>
                <w:lang w:eastAsia="zh-CN"/>
              </w:rPr>
              <w:t>否每个样品不少于1</w:t>
            </w:r>
            <w:r>
              <w:rPr>
                <w:rFonts w:hint="eastAsia"/>
                <w:lang w:eastAsia="zh-CN"/>
              </w:rPr>
              <w:t>25</w:t>
            </w:r>
            <w:r>
              <w:rPr>
                <w:lang w:eastAsia="zh-CN"/>
              </w:rPr>
              <w:t>克，是否按</w:t>
            </w:r>
            <w:r>
              <w:rPr>
                <w:spacing w:val="6"/>
                <w:lang w:eastAsia="zh-CN"/>
              </w:rPr>
              <w:t xml:space="preserve">  </w:t>
            </w:r>
            <w:r>
              <w:rPr>
                <w:spacing w:val="-1"/>
                <w:lang w:eastAsia="zh-CN"/>
              </w:rPr>
              <w:t>规定贴标签。</w:t>
            </w:r>
          </w:p>
        </w:tc>
        <w:tc>
          <w:tcPr>
            <w:tcW w:w="749" w:type="dxa"/>
            <w:noWrap w:val="0"/>
            <w:vAlign w:val="top"/>
          </w:tcPr>
          <w:p w14:paraId="07427661">
            <w:pPr>
              <w:spacing w:line="286" w:lineRule="auto"/>
              <w:rPr>
                <w:rFonts w:ascii="Arial"/>
              </w:rPr>
            </w:pPr>
          </w:p>
          <w:p w14:paraId="4858D662">
            <w:pPr>
              <w:pStyle w:val="43"/>
              <w:spacing w:before="78" w:line="220" w:lineRule="auto"/>
              <w:ind w:left="187"/>
            </w:pPr>
            <w:r>
              <w:rPr>
                <w:spacing w:val="-2"/>
              </w:rPr>
              <w:t>4分</w:t>
            </w:r>
          </w:p>
        </w:tc>
        <w:tc>
          <w:tcPr>
            <w:tcW w:w="1908" w:type="dxa"/>
            <w:noWrap w:val="0"/>
            <w:vAlign w:val="top"/>
          </w:tcPr>
          <w:p w14:paraId="0BBF746F">
            <w:pPr>
              <w:pStyle w:val="43"/>
              <w:spacing w:before="256" w:line="220" w:lineRule="auto"/>
              <w:ind w:left="108"/>
            </w:pPr>
            <w:r>
              <w:rPr>
                <w:spacing w:val="2"/>
              </w:rPr>
              <w:t>落实不到位，扣</w:t>
            </w:r>
          </w:p>
          <w:p w14:paraId="0EB054CC">
            <w:pPr>
              <w:pStyle w:val="43"/>
              <w:spacing w:before="13" w:line="220" w:lineRule="auto"/>
              <w:ind w:left="708"/>
            </w:pPr>
            <w:r>
              <w:t>2分。</w:t>
            </w:r>
          </w:p>
        </w:tc>
        <w:tc>
          <w:tcPr>
            <w:tcW w:w="704" w:type="dxa"/>
            <w:noWrap w:val="0"/>
            <w:vAlign w:val="top"/>
          </w:tcPr>
          <w:p w14:paraId="43666313">
            <w:pPr>
              <w:rPr>
                <w:rFonts w:ascii="Arial"/>
              </w:rPr>
            </w:pPr>
          </w:p>
        </w:tc>
      </w:tr>
      <w:tr w14:paraId="10E9E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3" w:hRule="atLeast"/>
        </w:trPr>
        <w:tc>
          <w:tcPr>
            <w:tcW w:w="774" w:type="dxa"/>
            <w:noWrap w:val="0"/>
            <w:vAlign w:val="center"/>
          </w:tcPr>
          <w:p w14:paraId="1C50B08B">
            <w:pPr>
              <w:spacing w:line="245" w:lineRule="auto"/>
              <w:rPr>
                <w:rFonts w:ascii="Arial"/>
              </w:rPr>
            </w:pPr>
          </w:p>
          <w:p w14:paraId="5FC52D74">
            <w:pPr>
              <w:spacing w:line="246" w:lineRule="auto"/>
              <w:rPr>
                <w:rFonts w:ascii="Arial"/>
              </w:rPr>
            </w:pPr>
          </w:p>
          <w:p w14:paraId="3210AFA3">
            <w:pPr>
              <w:spacing w:line="246" w:lineRule="auto"/>
              <w:rPr>
                <w:rFonts w:ascii="Arial"/>
              </w:rPr>
            </w:pPr>
          </w:p>
          <w:p w14:paraId="0D280D37">
            <w:pPr>
              <w:spacing w:line="246" w:lineRule="auto"/>
              <w:rPr>
                <w:rFonts w:ascii="Arial"/>
              </w:rPr>
            </w:pPr>
          </w:p>
          <w:p w14:paraId="6061BB0C">
            <w:pPr>
              <w:pStyle w:val="43"/>
              <w:spacing w:before="78" w:line="184" w:lineRule="auto"/>
              <w:ind w:left="255"/>
              <w:rPr>
                <w:lang w:eastAsia="zh-CN"/>
              </w:rPr>
            </w:pPr>
            <w:r>
              <w:rPr>
                <w:rFonts w:hint="eastAsia"/>
                <w:spacing w:val="-7"/>
                <w:lang w:eastAsia="zh-CN"/>
              </w:rPr>
              <w:t>9</w:t>
            </w:r>
          </w:p>
        </w:tc>
        <w:tc>
          <w:tcPr>
            <w:tcW w:w="1338" w:type="dxa"/>
            <w:noWrap w:val="0"/>
            <w:vAlign w:val="center"/>
          </w:tcPr>
          <w:p w14:paraId="510D8253">
            <w:pPr>
              <w:spacing w:line="307" w:lineRule="auto"/>
              <w:rPr>
                <w:rFonts w:ascii="Arial"/>
              </w:rPr>
            </w:pPr>
          </w:p>
          <w:p w14:paraId="49D4B448">
            <w:pPr>
              <w:spacing w:line="308" w:lineRule="auto"/>
              <w:rPr>
                <w:rFonts w:ascii="Arial"/>
              </w:rPr>
            </w:pPr>
          </w:p>
          <w:p w14:paraId="6D30241B">
            <w:pPr>
              <w:spacing w:line="308" w:lineRule="auto"/>
              <w:rPr>
                <w:rFonts w:ascii="Arial"/>
              </w:rPr>
            </w:pPr>
          </w:p>
          <w:p w14:paraId="4B7823A8">
            <w:pPr>
              <w:pStyle w:val="43"/>
              <w:spacing w:before="78" w:line="219" w:lineRule="auto"/>
              <w:ind w:left="171"/>
            </w:pPr>
            <w:r>
              <w:rPr>
                <w:spacing w:val="-2"/>
              </w:rPr>
              <w:t>秩序管理</w:t>
            </w:r>
          </w:p>
        </w:tc>
        <w:tc>
          <w:tcPr>
            <w:tcW w:w="3836" w:type="dxa"/>
            <w:noWrap w:val="0"/>
            <w:vAlign w:val="top"/>
          </w:tcPr>
          <w:p w14:paraId="5516A711">
            <w:pPr>
              <w:pStyle w:val="43"/>
              <w:spacing w:before="76" w:line="229" w:lineRule="auto"/>
              <w:ind w:left="83" w:right="81" w:firstLine="9"/>
              <w:rPr>
                <w:lang w:eastAsia="zh-CN"/>
              </w:rPr>
            </w:pPr>
            <w:r>
              <w:rPr>
                <w:lang w:eastAsia="zh-CN"/>
              </w:rPr>
              <w:t>1.是否做好楼面服务及后厨把控菜</w:t>
            </w:r>
            <w:r>
              <w:rPr>
                <w:spacing w:val="10"/>
                <w:lang w:eastAsia="zh-CN"/>
              </w:rPr>
              <w:t xml:space="preserve"> </w:t>
            </w:r>
            <w:r>
              <w:rPr>
                <w:lang w:eastAsia="zh-CN"/>
              </w:rPr>
              <w:t>式份量的调配。</w:t>
            </w:r>
          </w:p>
          <w:p w14:paraId="233A00C0">
            <w:pPr>
              <w:pStyle w:val="43"/>
              <w:spacing w:before="21" w:line="252" w:lineRule="auto"/>
              <w:ind w:left="83" w:right="93"/>
              <w:rPr>
                <w:lang w:eastAsia="zh-CN"/>
              </w:rPr>
            </w:pPr>
            <w:r>
              <w:rPr>
                <w:lang w:eastAsia="zh-CN"/>
              </w:rPr>
              <w:t>2,是否维护好饭堂秩序，做好用餐</w:t>
            </w:r>
            <w:r>
              <w:rPr>
                <w:spacing w:val="8"/>
                <w:lang w:eastAsia="zh-CN"/>
              </w:rPr>
              <w:t xml:space="preserve"> </w:t>
            </w:r>
            <w:r>
              <w:rPr>
                <w:spacing w:val="17"/>
                <w:lang w:eastAsia="zh-CN"/>
              </w:rPr>
              <w:t>人员分流工作；</w:t>
            </w:r>
          </w:p>
          <w:p w14:paraId="6FB1900D">
            <w:pPr>
              <w:pStyle w:val="43"/>
              <w:spacing w:before="7" w:line="229" w:lineRule="auto"/>
              <w:ind w:left="83" w:right="79" w:firstLine="9"/>
              <w:rPr>
                <w:lang w:eastAsia="zh-CN"/>
              </w:rPr>
            </w:pPr>
            <w:r>
              <w:rPr>
                <w:lang w:eastAsia="zh-CN"/>
              </w:rPr>
              <w:t>3.是否出现用餐人员等候拥挤混乱</w:t>
            </w:r>
            <w:r>
              <w:rPr>
                <w:spacing w:val="12"/>
                <w:lang w:eastAsia="zh-CN"/>
              </w:rPr>
              <w:t xml:space="preserve"> </w:t>
            </w:r>
            <w:r>
              <w:rPr>
                <w:spacing w:val="-10"/>
                <w:lang w:eastAsia="zh-CN"/>
              </w:rPr>
              <w:t>现 象</w:t>
            </w:r>
            <w:r>
              <w:rPr>
                <w:spacing w:val="-25"/>
                <w:lang w:eastAsia="zh-CN"/>
              </w:rPr>
              <w:t xml:space="preserve"> </w:t>
            </w:r>
            <w:r>
              <w:rPr>
                <w:spacing w:val="-10"/>
                <w:lang w:eastAsia="zh-CN"/>
              </w:rPr>
              <w:t>；</w:t>
            </w:r>
          </w:p>
          <w:p w14:paraId="120DD650">
            <w:pPr>
              <w:pStyle w:val="43"/>
              <w:spacing w:before="15" w:line="193" w:lineRule="auto"/>
              <w:ind w:left="83"/>
              <w:rPr>
                <w:lang w:eastAsia="zh-CN"/>
              </w:rPr>
            </w:pPr>
            <w:r>
              <w:rPr>
                <w:spacing w:val="1"/>
                <w:lang w:eastAsia="zh-CN"/>
              </w:rPr>
              <w:t>4.是否及时开关门窗、水电气</w:t>
            </w:r>
          </w:p>
        </w:tc>
        <w:tc>
          <w:tcPr>
            <w:tcW w:w="749" w:type="dxa"/>
            <w:noWrap w:val="0"/>
            <w:vAlign w:val="top"/>
          </w:tcPr>
          <w:p w14:paraId="028311B9">
            <w:pPr>
              <w:spacing w:line="307" w:lineRule="auto"/>
              <w:rPr>
                <w:rFonts w:ascii="Arial"/>
              </w:rPr>
            </w:pPr>
          </w:p>
          <w:p w14:paraId="20157561">
            <w:pPr>
              <w:spacing w:line="308" w:lineRule="auto"/>
              <w:rPr>
                <w:rFonts w:ascii="Arial"/>
              </w:rPr>
            </w:pPr>
          </w:p>
          <w:p w14:paraId="64226E73">
            <w:pPr>
              <w:spacing w:line="308" w:lineRule="auto"/>
              <w:rPr>
                <w:rFonts w:ascii="Arial"/>
              </w:rPr>
            </w:pPr>
          </w:p>
          <w:p w14:paraId="7E71C1EB">
            <w:pPr>
              <w:pStyle w:val="43"/>
              <w:spacing w:before="78" w:line="220" w:lineRule="auto"/>
              <w:ind w:left="187"/>
            </w:pPr>
            <w:r>
              <w:rPr>
                <w:spacing w:val="5"/>
              </w:rPr>
              <w:t>5分</w:t>
            </w:r>
          </w:p>
        </w:tc>
        <w:tc>
          <w:tcPr>
            <w:tcW w:w="1908" w:type="dxa"/>
            <w:noWrap w:val="0"/>
            <w:vAlign w:val="top"/>
          </w:tcPr>
          <w:p w14:paraId="5DB5BE99">
            <w:pPr>
              <w:spacing w:line="264" w:lineRule="auto"/>
              <w:rPr>
                <w:rFonts w:ascii="Arial"/>
              </w:rPr>
            </w:pPr>
          </w:p>
          <w:p w14:paraId="20898651">
            <w:pPr>
              <w:spacing w:line="265" w:lineRule="auto"/>
              <w:rPr>
                <w:rFonts w:ascii="Arial"/>
              </w:rPr>
            </w:pPr>
          </w:p>
          <w:p w14:paraId="1EE5DA9C">
            <w:pPr>
              <w:spacing w:line="265" w:lineRule="auto"/>
              <w:rPr>
                <w:rFonts w:ascii="Arial"/>
              </w:rPr>
            </w:pPr>
          </w:p>
          <w:p w14:paraId="3C7A7178">
            <w:pPr>
              <w:pStyle w:val="43"/>
              <w:spacing w:before="78" w:line="219" w:lineRule="auto"/>
              <w:ind w:left="108"/>
              <w:rPr>
                <w:lang w:eastAsia="zh-CN"/>
              </w:rPr>
            </w:pPr>
            <w:r>
              <w:rPr>
                <w:spacing w:val="1"/>
                <w:lang w:eastAsia="zh-CN"/>
              </w:rPr>
              <w:t>落实不到位，每</w:t>
            </w:r>
          </w:p>
          <w:p w14:paraId="7FC216B7">
            <w:pPr>
              <w:pStyle w:val="43"/>
              <w:spacing w:before="35" w:line="219" w:lineRule="auto"/>
              <w:ind w:left="468"/>
              <w:rPr>
                <w:lang w:eastAsia="zh-CN"/>
              </w:rPr>
            </w:pPr>
            <w:r>
              <w:rPr>
                <w:lang w:eastAsia="zh-CN"/>
              </w:rPr>
              <w:t>次扣1分。</w:t>
            </w:r>
          </w:p>
        </w:tc>
        <w:tc>
          <w:tcPr>
            <w:tcW w:w="704" w:type="dxa"/>
            <w:noWrap w:val="0"/>
            <w:vAlign w:val="top"/>
          </w:tcPr>
          <w:p w14:paraId="0822B959">
            <w:pPr>
              <w:rPr>
                <w:rFonts w:ascii="Arial"/>
              </w:rPr>
            </w:pPr>
          </w:p>
        </w:tc>
      </w:tr>
      <w:tr w14:paraId="4FB15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774" w:type="dxa"/>
            <w:noWrap w:val="0"/>
            <w:vAlign w:val="top"/>
          </w:tcPr>
          <w:p w14:paraId="12EC0D92">
            <w:pPr>
              <w:spacing w:line="259" w:lineRule="auto"/>
              <w:rPr>
                <w:rFonts w:ascii="Arial"/>
              </w:rPr>
            </w:pPr>
          </w:p>
          <w:p w14:paraId="41BEF12A">
            <w:pPr>
              <w:pStyle w:val="43"/>
              <w:spacing w:before="78" w:line="184" w:lineRule="auto"/>
              <w:ind w:firstLine="226" w:firstLineChars="100"/>
              <w:rPr>
                <w:lang w:eastAsia="zh-CN"/>
              </w:rPr>
            </w:pPr>
            <w:r>
              <w:rPr>
                <w:rFonts w:hint="eastAsia"/>
                <w:spacing w:val="-7"/>
                <w:lang w:eastAsia="zh-CN"/>
              </w:rPr>
              <w:t>10</w:t>
            </w:r>
          </w:p>
        </w:tc>
        <w:tc>
          <w:tcPr>
            <w:tcW w:w="1338" w:type="dxa"/>
            <w:noWrap w:val="0"/>
            <w:vAlign w:val="top"/>
          </w:tcPr>
          <w:p w14:paraId="48A4574A">
            <w:pPr>
              <w:pStyle w:val="43"/>
              <w:spacing w:before="78" w:line="219" w:lineRule="auto"/>
              <w:ind w:firstLine="236" w:firstLineChars="100"/>
              <w:jc w:val="left"/>
            </w:pPr>
            <w:r>
              <w:rPr>
                <w:spacing w:val="-2"/>
              </w:rPr>
              <w:t>菜品研发</w:t>
            </w:r>
          </w:p>
        </w:tc>
        <w:tc>
          <w:tcPr>
            <w:tcW w:w="3836" w:type="dxa"/>
            <w:noWrap w:val="0"/>
            <w:vAlign w:val="top"/>
          </w:tcPr>
          <w:p w14:paraId="6328A08C">
            <w:pPr>
              <w:pStyle w:val="43"/>
              <w:spacing w:before="37" w:line="212" w:lineRule="auto"/>
              <w:ind w:left="83" w:right="331"/>
              <w:jc w:val="left"/>
              <w:rPr>
                <w:lang w:eastAsia="zh-CN"/>
              </w:rPr>
            </w:pPr>
            <w:r>
              <w:rPr>
                <w:lang w:eastAsia="zh-CN"/>
              </w:rPr>
              <w:t>是否每季度推出至少三个新菜</w:t>
            </w:r>
            <w:r>
              <w:rPr>
                <w:spacing w:val="10"/>
                <w:lang w:eastAsia="zh-CN"/>
              </w:rPr>
              <w:t xml:space="preserve"> </w:t>
            </w:r>
            <w:r>
              <w:rPr>
                <w:spacing w:val="-15"/>
                <w:lang w:eastAsia="zh-CN"/>
              </w:rPr>
              <w:t>品</w:t>
            </w:r>
            <w:r>
              <w:rPr>
                <w:spacing w:val="-57"/>
                <w:lang w:eastAsia="zh-CN"/>
              </w:rPr>
              <w:t xml:space="preserve"> </w:t>
            </w:r>
            <w:r>
              <w:rPr>
                <w:spacing w:val="-15"/>
                <w:lang w:eastAsia="zh-CN"/>
              </w:rPr>
              <w:t>。</w:t>
            </w:r>
          </w:p>
        </w:tc>
        <w:tc>
          <w:tcPr>
            <w:tcW w:w="749" w:type="dxa"/>
            <w:noWrap w:val="0"/>
            <w:vAlign w:val="top"/>
          </w:tcPr>
          <w:p w14:paraId="04CF11B1">
            <w:pPr>
              <w:pStyle w:val="43"/>
              <w:spacing w:before="78" w:line="220" w:lineRule="auto"/>
              <w:jc w:val="left"/>
            </w:pPr>
            <w:r>
              <w:rPr>
                <w:spacing w:val="3"/>
              </w:rPr>
              <w:t>10分</w:t>
            </w:r>
          </w:p>
        </w:tc>
        <w:tc>
          <w:tcPr>
            <w:tcW w:w="1908" w:type="dxa"/>
            <w:noWrap w:val="0"/>
            <w:vAlign w:val="top"/>
          </w:tcPr>
          <w:p w14:paraId="17A32B89">
            <w:pPr>
              <w:pStyle w:val="43"/>
              <w:spacing w:before="78" w:line="219" w:lineRule="auto"/>
              <w:jc w:val="left"/>
              <w:rPr>
                <w:lang w:eastAsia="zh-CN"/>
              </w:rPr>
            </w:pPr>
            <w:r>
              <w:rPr>
                <w:spacing w:val="1"/>
                <w:lang w:eastAsia="zh-CN"/>
              </w:rPr>
              <w:t>落实不到位，每</w:t>
            </w:r>
          </w:p>
          <w:p w14:paraId="6E36F7B3">
            <w:pPr>
              <w:pStyle w:val="43"/>
              <w:spacing w:before="55" w:line="219" w:lineRule="auto"/>
              <w:jc w:val="left"/>
              <w:rPr>
                <w:lang w:eastAsia="zh-CN"/>
              </w:rPr>
            </w:pPr>
            <w:r>
              <w:rPr>
                <w:lang w:eastAsia="zh-CN"/>
              </w:rPr>
              <w:t>少一次扣2分。</w:t>
            </w:r>
          </w:p>
        </w:tc>
        <w:tc>
          <w:tcPr>
            <w:tcW w:w="704" w:type="dxa"/>
            <w:noWrap w:val="0"/>
            <w:vAlign w:val="top"/>
          </w:tcPr>
          <w:p w14:paraId="43C7172E">
            <w:pPr>
              <w:jc w:val="left"/>
              <w:rPr>
                <w:rFonts w:ascii="Arial"/>
              </w:rPr>
            </w:pPr>
          </w:p>
        </w:tc>
      </w:tr>
      <w:tr w14:paraId="7AB89A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4" w:hRule="atLeast"/>
        </w:trPr>
        <w:tc>
          <w:tcPr>
            <w:tcW w:w="774" w:type="dxa"/>
            <w:noWrap w:val="0"/>
            <w:vAlign w:val="top"/>
          </w:tcPr>
          <w:p w14:paraId="6D15A139">
            <w:pPr>
              <w:spacing w:line="242" w:lineRule="auto"/>
              <w:rPr>
                <w:rFonts w:ascii="Arial"/>
              </w:rPr>
            </w:pPr>
          </w:p>
          <w:p w14:paraId="7046CF05">
            <w:pPr>
              <w:spacing w:line="242" w:lineRule="auto"/>
              <w:rPr>
                <w:rFonts w:ascii="Arial"/>
              </w:rPr>
            </w:pPr>
          </w:p>
          <w:p w14:paraId="1B9E9193">
            <w:pPr>
              <w:spacing w:line="243" w:lineRule="auto"/>
              <w:rPr>
                <w:rFonts w:ascii="Arial"/>
              </w:rPr>
            </w:pPr>
          </w:p>
          <w:p w14:paraId="4EFB9163">
            <w:pPr>
              <w:pStyle w:val="43"/>
              <w:spacing w:before="78" w:line="184" w:lineRule="auto"/>
              <w:ind w:left="255"/>
              <w:rPr>
                <w:rFonts w:hint="eastAsia"/>
                <w:lang w:eastAsia="zh-CN"/>
              </w:rPr>
            </w:pPr>
            <w:r>
              <w:rPr>
                <w:spacing w:val="-7"/>
              </w:rPr>
              <w:t>1</w:t>
            </w:r>
            <w:r>
              <w:rPr>
                <w:rFonts w:hint="eastAsia"/>
                <w:spacing w:val="-7"/>
                <w:lang w:eastAsia="zh-CN"/>
              </w:rPr>
              <w:t>1</w:t>
            </w:r>
          </w:p>
        </w:tc>
        <w:tc>
          <w:tcPr>
            <w:tcW w:w="1338" w:type="dxa"/>
            <w:noWrap w:val="0"/>
            <w:vAlign w:val="top"/>
          </w:tcPr>
          <w:p w14:paraId="4B46CB9B">
            <w:pPr>
              <w:spacing w:line="334" w:lineRule="auto"/>
              <w:rPr>
                <w:rFonts w:ascii="Arial"/>
              </w:rPr>
            </w:pPr>
          </w:p>
          <w:p w14:paraId="1E14C0EA">
            <w:pPr>
              <w:spacing w:line="334" w:lineRule="auto"/>
              <w:rPr>
                <w:rFonts w:ascii="Arial"/>
              </w:rPr>
            </w:pPr>
          </w:p>
          <w:p w14:paraId="08DC494D">
            <w:pPr>
              <w:pStyle w:val="43"/>
              <w:spacing w:before="78" w:line="220" w:lineRule="auto"/>
              <w:ind w:left="171"/>
            </w:pPr>
            <w:r>
              <w:rPr>
                <w:spacing w:val="2"/>
              </w:rPr>
              <w:t>投诉情况</w:t>
            </w:r>
          </w:p>
        </w:tc>
        <w:tc>
          <w:tcPr>
            <w:tcW w:w="3836" w:type="dxa"/>
            <w:noWrap w:val="0"/>
            <w:vAlign w:val="top"/>
          </w:tcPr>
          <w:p w14:paraId="4527BEFB">
            <w:pPr>
              <w:spacing w:line="273" w:lineRule="auto"/>
              <w:rPr>
                <w:rFonts w:ascii="Arial"/>
              </w:rPr>
            </w:pPr>
          </w:p>
          <w:p w14:paraId="4F80B440">
            <w:pPr>
              <w:spacing w:line="274" w:lineRule="auto"/>
              <w:rPr>
                <w:rFonts w:ascii="Arial"/>
              </w:rPr>
            </w:pPr>
          </w:p>
          <w:p w14:paraId="33409751">
            <w:pPr>
              <w:pStyle w:val="43"/>
              <w:spacing w:before="78" w:line="229" w:lineRule="auto"/>
              <w:ind w:left="83" w:right="183" w:firstLine="19"/>
              <w:rPr>
                <w:lang w:eastAsia="zh-CN"/>
              </w:rPr>
            </w:pPr>
            <w:r>
              <w:rPr>
                <w:spacing w:val="1"/>
                <w:lang w:eastAsia="zh-CN"/>
              </w:rPr>
              <w:t>是否收到有效投诉(属膳食制作和</w:t>
            </w:r>
            <w:r>
              <w:rPr>
                <w:spacing w:val="3"/>
                <w:lang w:eastAsia="zh-CN"/>
              </w:rPr>
              <w:t xml:space="preserve"> </w:t>
            </w:r>
            <w:r>
              <w:rPr>
                <w:lang w:eastAsia="zh-CN"/>
              </w:rPr>
              <w:t>楼面服务范围内等)。</w:t>
            </w:r>
          </w:p>
        </w:tc>
        <w:tc>
          <w:tcPr>
            <w:tcW w:w="749" w:type="dxa"/>
            <w:noWrap w:val="0"/>
            <w:vAlign w:val="top"/>
          </w:tcPr>
          <w:p w14:paraId="60CF8428">
            <w:pPr>
              <w:spacing w:line="334" w:lineRule="auto"/>
              <w:rPr>
                <w:rFonts w:ascii="Arial"/>
              </w:rPr>
            </w:pPr>
          </w:p>
          <w:p w14:paraId="47CF9581">
            <w:pPr>
              <w:spacing w:line="334" w:lineRule="auto"/>
              <w:rPr>
                <w:rFonts w:ascii="Arial"/>
              </w:rPr>
            </w:pPr>
          </w:p>
          <w:p w14:paraId="2159FE99">
            <w:pPr>
              <w:pStyle w:val="43"/>
              <w:spacing w:before="78" w:line="220" w:lineRule="auto"/>
              <w:ind w:left="127"/>
            </w:pPr>
            <w:r>
              <w:rPr>
                <w:spacing w:val="3"/>
              </w:rPr>
              <w:t>10分</w:t>
            </w:r>
          </w:p>
        </w:tc>
        <w:tc>
          <w:tcPr>
            <w:tcW w:w="1908" w:type="dxa"/>
            <w:noWrap w:val="0"/>
            <w:vAlign w:val="top"/>
          </w:tcPr>
          <w:p w14:paraId="544824B7">
            <w:pPr>
              <w:pStyle w:val="43"/>
              <w:spacing w:before="160" w:line="219" w:lineRule="auto"/>
              <w:ind w:left="168"/>
              <w:rPr>
                <w:lang w:eastAsia="zh-CN"/>
              </w:rPr>
            </w:pPr>
            <w:r>
              <w:rPr>
                <w:spacing w:val="3"/>
                <w:lang w:eastAsia="zh-CN"/>
              </w:rPr>
              <w:t>每宗扣5分；因</w:t>
            </w:r>
          </w:p>
          <w:p w14:paraId="72A3FEA5">
            <w:pPr>
              <w:pStyle w:val="43"/>
              <w:spacing w:before="6" w:line="221" w:lineRule="auto"/>
              <w:ind w:left="108"/>
              <w:rPr>
                <w:lang w:eastAsia="zh-CN"/>
              </w:rPr>
            </w:pPr>
            <w:r>
              <w:rPr>
                <w:spacing w:val="1"/>
                <w:lang w:eastAsia="zh-CN"/>
              </w:rPr>
              <w:t>乙方原因对甲方</w:t>
            </w:r>
          </w:p>
          <w:p w14:paraId="30C458AE">
            <w:pPr>
              <w:pStyle w:val="43"/>
              <w:spacing w:before="41" w:line="219" w:lineRule="auto"/>
              <w:ind w:left="108"/>
              <w:rPr>
                <w:lang w:eastAsia="zh-CN"/>
              </w:rPr>
            </w:pPr>
            <w:r>
              <w:rPr>
                <w:spacing w:val="2"/>
                <w:lang w:eastAsia="zh-CN"/>
              </w:rPr>
              <w:t>造成负面影响的</w:t>
            </w:r>
          </w:p>
          <w:p w14:paraId="633574EA">
            <w:pPr>
              <w:pStyle w:val="43"/>
              <w:spacing w:before="45" w:line="219" w:lineRule="auto"/>
              <w:ind w:left="108"/>
              <w:rPr>
                <w:lang w:eastAsia="zh-CN"/>
              </w:rPr>
            </w:pPr>
            <w:r>
              <w:rPr>
                <w:spacing w:val="-2"/>
                <w:lang w:eastAsia="zh-CN"/>
              </w:rPr>
              <w:t>每宗扣10分，并</w:t>
            </w:r>
          </w:p>
          <w:p w14:paraId="581667CF">
            <w:pPr>
              <w:pStyle w:val="43"/>
              <w:spacing w:before="33" w:line="212" w:lineRule="auto"/>
              <w:ind w:left="408"/>
            </w:pPr>
            <w:r>
              <w:t>提出警告。</w:t>
            </w:r>
          </w:p>
        </w:tc>
        <w:tc>
          <w:tcPr>
            <w:tcW w:w="704" w:type="dxa"/>
            <w:noWrap w:val="0"/>
            <w:vAlign w:val="top"/>
          </w:tcPr>
          <w:p w14:paraId="4B0CF189">
            <w:pPr>
              <w:rPr>
                <w:rFonts w:ascii="Arial"/>
              </w:rPr>
            </w:pPr>
          </w:p>
        </w:tc>
      </w:tr>
      <w:tr w14:paraId="21BD9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trPr>
        <w:tc>
          <w:tcPr>
            <w:tcW w:w="774" w:type="dxa"/>
            <w:noWrap w:val="0"/>
            <w:vAlign w:val="top"/>
          </w:tcPr>
          <w:p w14:paraId="533E9BB8">
            <w:pPr>
              <w:pStyle w:val="43"/>
              <w:spacing w:before="261" w:line="184" w:lineRule="auto"/>
              <w:ind w:left="255"/>
              <w:rPr>
                <w:rFonts w:hint="eastAsia"/>
                <w:lang w:eastAsia="zh-CN"/>
              </w:rPr>
            </w:pPr>
            <w:r>
              <w:rPr>
                <w:spacing w:val="-7"/>
              </w:rPr>
              <w:t>1</w:t>
            </w:r>
            <w:r>
              <w:rPr>
                <w:rFonts w:hint="eastAsia"/>
                <w:spacing w:val="-7"/>
                <w:lang w:eastAsia="zh-CN"/>
              </w:rPr>
              <w:t>2</w:t>
            </w:r>
          </w:p>
        </w:tc>
        <w:tc>
          <w:tcPr>
            <w:tcW w:w="1338" w:type="dxa"/>
            <w:noWrap w:val="0"/>
            <w:vAlign w:val="top"/>
          </w:tcPr>
          <w:p w14:paraId="0F1D9C59">
            <w:pPr>
              <w:pStyle w:val="43"/>
              <w:spacing w:before="200" w:line="219" w:lineRule="auto"/>
              <w:ind w:left="180"/>
            </w:pPr>
            <w:r>
              <w:rPr>
                <w:spacing w:val="2"/>
              </w:rPr>
              <w:t>整改情况</w:t>
            </w:r>
          </w:p>
        </w:tc>
        <w:tc>
          <w:tcPr>
            <w:tcW w:w="3836" w:type="dxa"/>
            <w:noWrap w:val="0"/>
            <w:vAlign w:val="top"/>
          </w:tcPr>
          <w:p w14:paraId="5B787FB7">
            <w:pPr>
              <w:pStyle w:val="43"/>
              <w:spacing w:before="70" w:line="215" w:lineRule="auto"/>
              <w:ind w:left="102" w:right="95" w:firstLine="9"/>
              <w:rPr>
                <w:lang w:eastAsia="zh-CN"/>
              </w:rPr>
            </w:pPr>
            <w:r>
              <w:rPr>
                <w:spacing w:val="1"/>
                <w:lang w:eastAsia="zh-CN"/>
              </w:rPr>
              <w:t xml:space="preserve">是否按规定时间进行整改，整改后 </w:t>
            </w:r>
            <w:r>
              <w:rPr>
                <w:spacing w:val="-1"/>
                <w:lang w:eastAsia="zh-CN"/>
              </w:rPr>
              <w:t>是否达到要求。</w:t>
            </w:r>
          </w:p>
        </w:tc>
        <w:tc>
          <w:tcPr>
            <w:tcW w:w="749" w:type="dxa"/>
            <w:noWrap w:val="0"/>
            <w:vAlign w:val="top"/>
          </w:tcPr>
          <w:p w14:paraId="32B96B42">
            <w:pPr>
              <w:pStyle w:val="43"/>
              <w:spacing w:before="201" w:line="220" w:lineRule="auto"/>
              <w:ind w:left="186"/>
            </w:pPr>
            <w:r>
              <w:rPr>
                <w:spacing w:val="5"/>
              </w:rPr>
              <w:t>8分</w:t>
            </w:r>
          </w:p>
        </w:tc>
        <w:tc>
          <w:tcPr>
            <w:tcW w:w="1908" w:type="dxa"/>
            <w:noWrap w:val="0"/>
            <w:vAlign w:val="top"/>
          </w:tcPr>
          <w:p w14:paraId="7DB33FA3">
            <w:pPr>
              <w:pStyle w:val="43"/>
              <w:spacing w:before="51" w:line="220" w:lineRule="auto"/>
              <w:ind w:left="108"/>
            </w:pPr>
            <w:r>
              <w:rPr>
                <w:spacing w:val="2"/>
              </w:rPr>
              <w:t>落实不到位，扣</w:t>
            </w:r>
          </w:p>
          <w:p w14:paraId="7906F157">
            <w:pPr>
              <w:pStyle w:val="43"/>
              <w:spacing w:before="53" w:line="183" w:lineRule="auto"/>
              <w:ind w:left="708"/>
            </w:pPr>
            <w:r>
              <w:rPr>
                <w:spacing w:val="-1"/>
              </w:rPr>
              <w:t>8分。</w:t>
            </w:r>
          </w:p>
        </w:tc>
        <w:tc>
          <w:tcPr>
            <w:tcW w:w="704" w:type="dxa"/>
            <w:noWrap w:val="0"/>
            <w:vAlign w:val="top"/>
          </w:tcPr>
          <w:p w14:paraId="29D7DB0C">
            <w:pPr>
              <w:rPr>
                <w:rFonts w:ascii="Arial"/>
              </w:rPr>
            </w:pPr>
          </w:p>
        </w:tc>
      </w:tr>
      <w:tr w14:paraId="745C5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774" w:type="dxa"/>
            <w:shd w:val="clear" w:color="auto" w:fill="C5CDD8"/>
            <w:noWrap w:val="0"/>
            <w:vAlign w:val="top"/>
          </w:tcPr>
          <w:p w14:paraId="38026A72">
            <w:pPr>
              <w:pStyle w:val="43"/>
              <w:spacing w:before="54" w:line="204" w:lineRule="auto"/>
            </w:pPr>
            <w:r>
              <w:rPr>
                <w:spacing w:val="7"/>
              </w:rPr>
              <w:t>序号</w:t>
            </w:r>
          </w:p>
        </w:tc>
        <w:tc>
          <w:tcPr>
            <w:tcW w:w="1338" w:type="dxa"/>
            <w:shd w:val="clear" w:color="auto" w:fill="CAD1DB"/>
            <w:noWrap w:val="0"/>
            <w:vAlign w:val="top"/>
          </w:tcPr>
          <w:p w14:paraId="7AD25965">
            <w:pPr>
              <w:pStyle w:val="43"/>
              <w:spacing w:before="53" w:line="205" w:lineRule="auto"/>
              <w:ind w:left="180"/>
            </w:pPr>
            <w:r>
              <w:rPr>
                <w:spacing w:val="11"/>
              </w:rPr>
              <w:t>加分项目</w:t>
            </w:r>
          </w:p>
        </w:tc>
        <w:tc>
          <w:tcPr>
            <w:tcW w:w="3836" w:type="dxa"/>
            <w:shd w:val="clear" w:color="auto" w:fill="C9D1DD"/>
            <w:noWrap w:val="0"/>
            <w:vAlign w:val="top"/>
          </w:tcPr>
          <w:p w14:paraId="4B06B5E3">
            <w:pPr>
              <w:pStyle w:val="43"/>
              <w:spacing w:before="52" w:line="206" w:lineRule="auto"/>
              <w:ind w:left="1433"/>
            </w:pPr>
            <w:r>
              <w:rPr>
                <w:spacing w:val="3"/>
              </w:rPr>
              <w:t>标准内容</w:t>
            </w:r>
          </w:p>
        </w:tc>
        <w:tc>
          <w:tcPr>
            <w:tcW w:w="749" w:type="dxa"/>
            <w:shd w:val="clear" w:color="auto" w:fill="CAD0DB"/>
            <w:noWrap w:val="0"/>
            <w:vAlign w:val="top"/>
          </w:tcPr>
          <w:p w14:paraId="45876131">
            <w:pPr>
              <w:pStyle w:val="43"/>
              <w:spacing w:before="52" w:line="206" w:lineRule="auto"/>
              <w:ind w:left="126"/>
            </w:pPr>
            <w:r>
              <w:rPr>
                <w:spacing w:val="4"/>
              </w:rPr>
              <w:t>分值</w:t>
            </w:r>
          </w:p>
        </w:tc>
        <w:tc>
          <w:tcPr>
            <w:tcW w:w="1908" w:type="dxa"/>
            <w:shd w:val="clear" w:color="auto" w:fill="C9D0DC"/>
            <w:noWrap w:val="0"/>
            <w:vAlign w:val="top"/>
          </w:tcPr>
          <w:p w14:paraId="13C89C5C">
            <w:pPr>
              <w:pStyle w:val="43"/>
              <w:spacing w:before="53" w:line="205" w:lineRule="auto"/>
              <w:ind w:left="467"/>
            </w:pPr>
            <w:r>
              <w:rPr>
                <w:spacing w:val="5"/>
              </w:rPr>
              <w:t>评分细则</w:t>
            </w:r>
          </w:p>
        </w:tc>
        <w:tc>
          <w:tcPr>
            <w:tcW w:w="704" w:type="dxa"/>
            <w:shd w:val="clear" w:color="auto" w:fill="CAD0DC"/>
            <w:noWrap w:val="0"/>
            <w:vAlign w:val="top"/>
          </w:tcPr>
          <w:p w14:paraId="65D05DEC">
            <w:pPr>
              <w:pStyle w:val="43"/>
              <w:spacing w:before="52" w:line="206" w:lineRule="auto"/>
              <w:ind w:left="109"/>
            </w:pPr>
            <w:r>
              <w:rPr>
                <w:spacing w:val="5"/>
              </w:rPr>
              <w:t>得分</w:t>
            </w:r>
          </w:p>
        </w:tc>
      </w:tr>
      <w:tr w14:paraId="583CE0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774" w:type="dxa"/>
            <w:noWrap w:val="0"/>
            <w:vAlign w:val="top"/>
          </w:tcPr>
          <w:p w14:paraId="74026613">
            <w:pPr>
              <w:pStyle w:val="43"/>
              <w:spacing w:before="263" w:line="184" w:lineRule="auto"/>
              <w:ind w:left="314"/>
            </w:pPr>
            <w:r>
              <w:t>1</w:t>
            </w:r>
          </w:p>
        </w:tc>
        <w:tc>
          <w:tcPr>
            <w:tcW w:w="1338" w:type="dxa"/>
            <w:noWrap w:val="0"/>
            <w:vAlign w:val="top"/>
          </w:tcPr>
          <w:p w14:paraId="442B9A4E">
            <w:pPr>
              <w:pStyle w:val="43"/>
              <w:spacing w:before="83" w:line="210" w:lineRule="auto"/>
              <w:ind w:left="420" w:right="172" w:hanging="240"/>
            </w:pPr>
            <w:r>
              <w:rPr>
                <w:spacing w:val="3"/>
              </w:rPr>
              <w:t>执行临时</w:t>
            </w:r>
            <w:r>
              <w:rPr>
                <w:spacing w:val="1"/>
              </w:rPr>
              <w:t xml:space="preserve"> </w:t>
            </w:r>
            <w:r>
              <w:rPr>
                <w:spacing w:val="-3"/>
              </w:rPr>
              <w:t>任务</w:t>
            </w:r>
          </w:p>
        </w:tc>
        <w:tc>
          <w:tcPr>
            <w:tcW w:w="3836" w:type="dxa"/>
            <w:noWrap w:val="0"/>
            <w:vAlign w:val="top"/>
          </w:tcPr>
          <w:p w14:paraId="29B328A3">
            <w:pPr>
              <w:pStyle w:val="43"/>
              <w:spacing w:before="203" w:line="219" w:lineRule="auto"/>
              <w:ind w:left="112"/>
              <w:rPr>
                <w:lang w:eastAsia="zh-CN"/>
              </w:rPr>
            </w:pPr>
            <w:r>
              <w:rPr>
                <w:spacing w:val="-1"/>
                <w:lang w:eastAsia="zh-CN"/>
              </w:rPr>
              <w:t>是否顺利完成临时保障任务。</w:t>
            </w:r>
          </w:p>
        </w:tc>
        <w:tc>
          <w:tcPr>
            <w:tcW w:w="749" w:type="dxa"/>
            <w:noWrap w:val="0"/>
            <w:vAlign w:val="top"/>
          </w:tcPr>
          <w:p w14:paraId="0DF9DB5F">
            <w:pPr>
              <w:pStyle w:val="43"/>
              <w:spacing w:before="203" w:line="220" w:lineRule="auto"/>
              <w:ind w:left="126"/>
            </w:pPr>
            <w:r>
              <w:rPr>
                <w:spacing w:val="3"/>
              </w:rPr>
              <w:t>10分</w:t>
            </w:r>
          </w:p>
        </w:tc>
        <w:tc>
          <w:tcPr>
            <w:tcW w:w="1908" w:type="dxa"/>
            <w:noWrap w:val="0"/>
            <w:vAlign w:val="top"/>
          </w:tcPr>
          <w:p w14:paraId="633DC16E">
            <w:pPr>
              <w:pStyle w:val="43"/>
              <w:spacing w:before="83" w:line="210" w:lineRule="auto"/>
              <w:ind w:left="346" w:right="50" w:hanging="179"/>
              <w:rPr>
                <w:lang w:eastAsia="zh-CN"/>
              </w:rPr>
            </w:pPr>
            <w:r>
              <w:rPr>
                <w:lang w:eastAsia="zh-CN"/>
              </w:rPr>
              <w:t>得到书面表扬， 每次加5分。</w:t>
            </w:r>
          </w:p>
        </w:tc>
        <w:tc>
          <w:tcPr>
            <w:tcW w:w="704" w:type="dxa"/>
            <w:noWrap w:val="0"/>
            <w:vAlign w:val="top"/>
          </w:tcPr>
          <w:p w14:paraId="1666D55E">
            <w:pPr>
              <w:rPr>
                <w:rFonts w:ascii="Arial"/>
              </w:rPr>
            </w:pPr>
          </w:p>
        </w:tc>
      </w:tr>
    </w:tbl>
    <w:p w14:paraId="766C8657">
      <w:pPr>
        <w:spacing w:line="106" w:lineRule="exact"/>
        <w:rPr>
          <w:sz w:val="9"/>
          <w:szCs w:val="9"/>
        </w:rPr>
        <w:sectPr>
          <w:pgSz w:w="11900" w:h="16830"/>
          <w:pgMar w:top="958" w:right="1155" w:bottom="958" w:left="1425" w:header="0" w:footer="819" w:gutter="0"/>
          <w:cols w:space="720" w:num="1"/>
        </w:sectPr>
      </w:pPr>
    </w:p>
    <w:tbl>
      <w:tblPr>
        <w:tblStyle w:val="19"/>
        <w:tblW w:w="93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4"/>
        <w:gridCol w:w="1318"/>
        <w:gridCol w:w="1858"/>
        <w:gridCol w:w="1938"/>
        <w:gridCol w:w="749"/>
        <w:gridCol w:w="1898"/>
        <w:gridCol w:w="714"/>
        <w:gridCol w:w="60"/>
      </w:tblGrid>
      <w:tr w14:paraId="48128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60" w:type="dxa"/>
          <w:trHeight w:val="1714" w:hRule="atLeast"/>
        </w:trPr>
        <w:tc>
          <w:tcPr>
            <w:tcW w:w="774" w:type="dxa"/>
            <w:noWrap w:val="0"/>
            <w:vAlign w:val="top"/>
          </w:tcPr>
          <w:p w14:paraId="6735FE3A">
            <w:pPr>
              <w:spacing w:line="257" w:lineRule="auto"/>
              <w:rPr>
                <w:rFonts w:ascii="Arial"/>
              </w:rPr>
            </w:pPr>
          </w:p>
          <w:p w14:paraId="06E327B6">
            <w:pPr>
              <w:spacing w:line="257" w:lineRule="auto"/>
              <w:rPr>
                <w:rFonts w:ascii="Arial"/>
              </w:rPr>
            </w:pPr>
          </w:p>
          <w:p w14:paraId="3EA1C80B">
            <w:pPr>
              <w:pStyle w:val="43"/>
              <w:spacing w:before="78" w:line="183" w:lineRule="auto"/>
              <w:ind w:left="314"/>
            </w:pPr>
            <w:r>
              <w:t>2</w:t>
            </w:r>
          </w:p>
        </w:tc>
        <w:tc>
          <w:tcPr>
            <w:tcW w:w="1318" w:type="dxa"/>
            <w:noWrap w:val="0"/>
            <w:vAlign w:val="top"/>
          </w:tcPr>
          <w:p w14:paraId="21D74BFD">
            <w:pPr>
              <w:pStyle w:val="43"/>
              <w:spacing w:before="212" w:line="249" w:lineRule="auto"/>
              <w:ind w:left="180" w:right="141"/>
              <w:rPr>
                <w:lang w:eastAsia="zh-CN"/>
              </w:rPr>
            </w:pPr>
            <w:r>
              <w:rPr>
                <w:spacing w:val="-3"/>
                <w:lang w:eastAsia="zh-CN"/>
              </w:rPr>
              <w:t>菜品研发</w:t>
            </w:r>
            <w:r>
              <w:rPr>
                <w:spacing w:val="1"/>
                <w:lang w:eastAsia="zh-CN"/>
              </w:rPr>
              <w:t xml:space="preserve"> </w:t>
            </w:r>
            <w:r>
              <w:rPr>
                <w:spacing w:val="2"/>
                <w:lang w:eastAsia="zh-CN"/>
              </w:rPr>
              <w:t xml:space="preserve">或创新等 </w:t>
            </w:r>
            <w:r>
              <w:rPr>
                <w:spacing w:val="11"/>
                <w:lang w:eastAsia="zh-CN"/>
              </w:rPr>
              <w:t>服务项目</w:t>
            </w:r>
          </w:p>
        </w:tc>
        <w:tc>
          <w:tcPr>
            <w:tcW w:w="3796" w:type="dxa"/>
            <w:gridSpan w:val="2"/>
            <w:noWrap w:val="0"/>
            <w:vAlign w:val="top"/>
          </w:tcPr>
          <w:p w14:paraId="1BBBAB8C">
            <w:pPr>
              <w:spacing w:line="313" w:lineRule="auto"/>
              <w:rPr>
                <w:rFonts w:ascii="Arial"/>
              </w:rPr>
            </w:pPr>
          </w:p>
          <w:p w14:paraId="494527DE">
            <w:pPr>
              <w:pStyle w:val="43"/>
              <w:spacing w:before="78" w:line="234" w:lineRule="auto"/>
              <w:ind w:left="121" w:right="100" w:hanging="9"/>
              <w:rPr>
                <w:lang w:eastAsia="zh-CN"/>
              </w:rPr>
            </w:pPr>
            <w:r>
              <w:rPr>
                <w:lang w:eastAsia="zh-CN"/>
              </w:rPr>
              <w:t>推出的新菜式或创新等服务项目是否受欢迎。</w:t>
            </w:r>
          </w:p>
        </w:tc>
        <w:tc>
          <w:tcPr>
            <w:tcW w:w="749" w:type="dxa"/>
            <w:noWrap w:val="0"/>
            <w:vAlign w:val="top"/>
          </w:tcPr>
          <w:p w14:paraId="3FA04D16">
            <w:pPr>
              <w:spacing w:line="453" w:lineRule="auto"/>
              <w:rPr>
                <w:rFonts w:ascii="Arial"/>
              </w:rPr>
            </w:pPr>
          </w:p>
          <w:p w14:paraId="3C71E7EA">
            <w:pPr>
              <w:pStyle w:val="43"/>
              <w:spacing w:before="78" w:line="220" w:lineRule="auto"/>
              <w:ind w:left="126"/>
            </w:pPr>
            <w:r>
              <w:rPr>
                <w:spacing w:val="3"/>
              </w:rPr>
              <w:t>10分</w:t>
            </w:r>
          </w:p>
        </w:tc>
        <w:tc>
          <w:tcPr>
            <w:tcW w:w="1898" w:type="dxa"/>
            <w:noWrap w:val="0"/>
            <w:vAlign w:val="top"/>
          </w:tcPr>
          <w:p w14:paraId="6C5C93E3">
            <w:pPr>
              <w:pStyle w:val="43"/>
              <w:spacing w:before="64" w:line="219" w:lineRule="auto"/>
              <w:ind w:left="108"/>
              <w:rPr>
                <w:lang w:eastAsia="zh-CN"/>
              </w:rPr>
            </w:pPr>
            <w:r>
              <w:rPr>
                <w:spacing w:val="1"/>
                <w:lang w:eastAsia="zh-CN"/>
              </w:rPr>
              <w:t>每推出一款受欢</w:t>
            </w:r>
          </w:p>
          <w:p w14:paraId="7085950E">
            <w:pPr>
              <w:pStyle w:val="43"/>
              <w:spacing w:before="45" w:line="219" w:lineRule="auto"/>
              <w:ind w:left="108"/>
              <w:rPr>
                <w:lang w:eastAsia="zh-CN"/>
              </w:rPr>
            </w:pPr>
            <w:r>
              <w:rPr>
                <w:spacing w:val="-2"/>
                <w:lang w:eastAsia="zh-CN"/>
              </w:rPr>
              <w:t>迎的菜品或创新</w:t>
            </w:r>
          </w:p>
          <w:p w14:paraId="08B9E65E">
            <w:pPr>
              <w:pStyle w:val="43"/>
              <w:spacing w:before="35" w:line="219" w:lineRule="auto"/>
              <w:ind w:left="167"/>
            </w:pPr>
            <w:r>
              <w:rPr>
                <w:spacing w:val="3"/>
              </w:rPr>
              <w:t>等服务项目加1</w:t>
            </w:r>
          </w:p>
          <w:p w14:paraId="08B7B8D2">
            <w:pPr>
              <w:pStyle w:val="43"/>
              <w:spacing w:before="45" w:line="180" w:lineRule="auto"/>
              <w:ind w:left="767"/>
            </w:pPr>
            <w:r>
              <w:rPr>
                <w:spacing w:val="-1"/>
              </w:rPr>
              <w:t>分。</w:t>
            </w:r>
          </w:p>
        </w:tc>
        <w:tc>
          <w:tcPr>
            <w:tcW w:w="714" w:type="dxa"/>
            <w:noWrap w:val="0"/>
            <w:vAlign w:val="top"/>
          </w:tcPr>
          <w:p w14:paraId="04DB56DB">
            <w:pPr>
              <w:rPr>
                <w:rFonts w:ascii="Arial"/>
              </w:rPr>
            </w:pPr>
          </w:p>
        </w:tc>
      </w:tr>
      <w:tr w14:paraId="6EC9D9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9309" w:type="dxa"/>
            <w:gridSpan w:val="8"/>
            <w:noWrap w:val="0"/>
            <w:vAlign w:val="top"/>
          </w:tcPr>
          <w:p w14:paraId="71666D01">
            <w:pPr>
              <w:pStyle w:val="43"/>
              <w:spacing w:before="207" w:line="221" w:lineRule="auto"/>
              <w:ind w:left="94"/>
            </w:pPr>
            <w:r>
              <w:t>备注：</w:t>
            </w:r>
          </w:p>
        </w:tc>
      </w:tr>
      <w:tr w14:paraId="0C431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2" w:hRule="atLeast"/>
        </w:trPr>
        <w:tc>
          <w:tcPr>
            <w:tcW w:w="3950" w:type="dxa"/>
            <w:gridSpan w:val="3"/>
            <w:noWrap w:val="0"/>
            <w:vAlign w:val="top"/>
          </w:tcPr>
          <w:p w14:paraId="65705C4E">
            <w:pPr>
              <w:pStyle w:val="43"/>
              <w:spacing w:before="54" w:line="218" w:lineRule="auto"/>
              <w:ind w:left="104"/>
              <w:rPr>
                <w:lang w:eastAsia="zh-CN"/>
              </w:rPr>
            </w:pPr>
            <w:r>
              <w:rPr>
                <w:lang w:eastAsia="zh-CN"/>
              </w:rPr>
              <w:t>总体评价及考核人员签名：</w:t>
            </w:r>
          </w:p>
          <w:p w14:paraId="6901E03F">
            <w:pPr>
              <w:spacing w:line="298" w:lineRule="auto"/>
              <w:rPr>
                <w:rFonts w:ascii="Arial"/>
              </w:rPr>
            </w:pPr>
          </w:p>
          <w:p w14:paraId="3CFB8CE8">
            <w:pPr>
              <w:spacing w:line="298" w:lineRule="auto"/>
              <w:rPr>
                <w:rFonts w:ascii="Arial"/>
              </w:rPr>
            </w:pPr>
          </w:p>
          <w:p w14:paraId="5988270F">
            <w:pPr>
              <w:spacing w:line="298" w:lineRule="auto"/>
              <w:rPr>
                <w:rFonts w:ascii="Arial"/>
              </w:rPr>
            </w:pPr>
          </w:p>
          <w:p w14:paraId="0F4A256B">
            <w:pPr>
              <w:spacing w:line="299" w:lineRule="auto"/>
              <w:rPr>
                <w:rFonts w:ascii="Arial"/>
              </w:rPr>
            </w:pPr>
          </w:p>
          <w:p w14:paraId="6CBD59AB">
            <w:pPr>
              <w:pStyle w:val="43"/>
              <w:spacing w:before="78" w:line="219" w:lineRule="auto"/>
              <w:ind w:left="104"/>
            </w:pPr>
            <w:r>
              <w:t>日期：</w:t>
            </w:r>
          </w:p>
        </w:tc>
        <w:tc>
          <w:tcPr>
            <w:tcW w:w="5359" w:type="dxa"/>
            <w:gridSpan w:val="5"/>
            <w:noWrap w:val="0"/>
            <w:vAlign w:val="top"/>
          </w:tcPr>
          <w:p w14:paraId="576467EB">
            <w:pPr>
              <w:pStyle w:val="43"/>
              <w:spacing w:before="46" w:line="219" w:lineRule="auto"/>
              <w:ind w:left="114"/>
              <w:rPr>
                <w:lang w:eastAsia="zh-CN"/>
              </w:rPr>
            </w:pPr>
            <w:r>
              <w:rPr>
                <w:lang w:eastAsia="zh-CN"/>
              </w:rPr>
              <w:t>被考核单位负责人签名：</w:t>
            </w:r>
          </w:p>
          <w:p w14:paraId="06DEE044">
            <w:pPr>
              <w:spacing w:line="244" w:lineRule="auto"/>
              <w:rPr>
                <w:rFonts w:ascii="Arial"/>
              </w:rPr>
            </w:pPr>
          </w:p>
          <w:p w14:paraId="0D89D36F">
            <w:pPr>
              <w:spacing w:line="244" w:lineRule="auto"/>
              <w:rPr>
                <w:rFonts w:ascii="Arial"/>
              </w:rPr>
            </w:pPr>
          </w:p>
          <w:p w14:paraId="38514490">
            <w:pPr>
              <w:spacing w:line="244" w:lineRule="auto"/>
              <w:rPr>
                <w:rFonts w:ascii="Arial"/>
              </w:rPr>
            </w:pPr>
          </w:p>
          <w:p w14:paraId="495859AC">
            <w:pPr>
              <w:spacing w:line="244" w:lineRule="auto"/>
              <w:rPr>
                <w:rFonts w:ascii="Arial"/>
              </w:rPr>
            </w:pPr>
          </w:p>
          <w:p w14:paraId="1A6C99B8">
            <w:pPr>
              <w:spacing w:line="244" w:lineRule="auto"/>
              <w:rPr>
                <w:rFonts w:ascii="Arial"/>
              </w:rPr>
            </w:pPr>
          </w:p>
          <w:p w14:paraId="0239ABB9">
            <w:pPr>
              <w:pStyle w:val="43"/>
              <w:spacing w:before="78" w:line="203" w:lineRule="auto"/>
              <w:ind w:left="114"/>
            </w:pPr>
            <w:r>
              <w:t>日期：</w:t>
            </w:r>
          </w:p>
        </w:tc>
      </w:tr>
    </w:tbl>
    <w:p w14:paraId="2CFFDB8C">
      <w:pPr>
        <w:spacing w:line="360" w:lineRule="exact"/>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8B949">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E711806">
                          <w:pPr>
                            <w:pStyle w:val="14"/>
                          </w:pPr>
                          <w:r>
                            <w:fldChar w:fldCharType="begin"/>
                          </w:r>
                          <w:r>
                            <w:instrText xml:space="preserve"> PAGE  \* MERGEFORMAT </w:instrText>
                          </w:r>
                          <w:r>
                            <w:fldChar w:fldCharType="separate"/>
                          </w:r>
                          <w:r>
                            <w:t>- 3 -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7E711806">
                    <w:pPr>
                      <w:pStyle w:val="14"/>
                    </w:pPr>
                    <w:r>
                      <w:fldChar w:fldCharType="begin"/>
                    </w:r>
                    <w:r>
                      <w:instrText xml:space="preserve"> PAGE  \* MERGEFORMAT </w:instrText>
                    </w:r>
                    <w:r>
                      <w:fldChar w:fldCharType="separate"/>
                    </w:r>
                    <w:r>
                      <w:t>- 3 -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A38FE4"/>
    <w:multiLevelType w:val="singleLevel"/>
    <w:tmpl w:val="FCA38FE4"/>
    <w:lvl w:ilvl="0" w:tentative="0">
      <w:start w:val="1"/>
      <w:numFmt w:val="decimal"/>
      <w:suff w:val="nothing"/>
      <w:lvlText w:val="%1."/>
      <w:lvlJc w:val="left"/>
    </w:lvl>
  </w:abstractNum>
  <w:abstractNum w:abstractNumId="1">
    <w:nsid w:val="06A89BE1"/>
    <w:multiLevelType w:val="singleLevel"/>
    <w:tmpl w:val="06A89BE1"/>
    <w:lvl w:ilvl="0" w:tentative="0">
      <w:start w:val="1"/>
      <w:numFmt w:val="decimal"/>
      <w:lvlText w:val="%1."/>
      <w:lvlJc w:val="left"/>
      <w:pPr>
        <w:tabs>
          <w:tab w:val="left" w:pos="312"/>
        </w:tabs>
      </w:pPr>
    </w:lvl>
  </w:abstractNum>
  <w:abstractNum w:abstractNumId="2">
    <w:nsid w:val="13974670"/>
    <w:multiLevelType w:val="singleLevel"/>
    <w:tmpl w:val="13974670"/>
    <w:lvl w:ilvl="0" w:tentative="0">
      <w:start w:val="1"/>
      <w:numFmt w:val="decimal"/>
      <w:suff w:val="nothing"/>
      <w:lvlText w:val="%1."/>
      <w:lvlJc w:val="left"/>
    </w:lvl>
  </w:abstractNum>
  <w:abstractNum w:abstractNumId="3">
    <w:nsid w:val="1DFBB1E9"/>
    <w:multiLevelType w:val="singleLevel"/>
    <w:tmpl w:val="1DFBB1E9"/>
    <w:lvl w:ilvl="0" w:tentative="0">
      <w:start w:val="1"/>
      <w:numFmt w:val="decimal"/>
      <w:suff w:val="nothing"/>
      <w:lvlText w:val="%1."/>
      <w:lvlJc w:val="left"/>
      <w:rPr>
        <w:b w:val="0"/>
      </w:rPr>
    </w:lvl>
  </w:abstractNum>
  <w:abstractNum w:abstractNumId="4">
    <w:nsid w:val="3115DC88"/>
    <w:multiLevelType w:val="singleLevel"/>
    <w:tmpl w:val="3115DC88"/>
    <w:lvl w:ilvl="0" w:tentative="0">
      <w:start w:val="1"/>
      <w:numFmt w:val="decimal"/>
      <w:suff w:val="nothing"/>
      <w:lvlText w:val="%1."/>
      <w:lvlJc w:val="left"/>
      <w:pPr>
        <w:ind w:left="544" w:firstLine="0"/>
      </w:pPr>
    </w:lvl>
  </w:abstractNum>
  <w:abstractNum w:abstractNumId="5">
    <w:nsid w:val="4956D0B9"/>
    <w:multiLevelType w:val="singleLevel"/>
    <w:tmpl w:val="4956D0B9"/>
    <w:lvl w:ilvl="0" w:tentative="0">
      <w:start w:val="1"/>
      <w:numFmt w:val="decimal"/>
      <w:suff w:val="nothing"/>
      <w:lvlText w:val="%1."/>
      <w:lvlJc w:val="left"/>
      <w:pPr>
        <w:ind w:left="544" w:firstLine="0"/>
      </w:pPr>
    </w:lvl>
  </w:abstractNum>
  <w:abstractNum w:abstractNumId="6">
    <w:nsid w:val="5042CCD3"/>
    <w:multiLevelType w:val="singleLevel"/>
    <w:tmpl w:val="5042CCD3"/>
    <w:lvl w:ilvl="0" w:tentative="0">
      <w:start w:val="1"/>
      <w:numFmt w:val="chineseCounting"/>
      <w:suff w:val="nothing"/>
      <w:lvlText w:val="%1、"/>
      <w:lvlJc w:val="left"/>
      <w:rPr>
        <w:rFonts w:hint="eastAsia"/>
      </w:rPr>
    </w:lvl>
  </w:abstractNum>
  <w:abstractNum w:abstractNumId="7">
    <w:nsid w:val="6F41E346"/>
    <w:multiLevelType w:val="singleLevel"/>
    <w:tmpl w:val="6F41E346"/>
    <w:lvl w:ilvl="0" w:tentative="0">
      <w:start w:val="1"/>
      <w:numFmt w:val="chineseCounting"/>
      <w:suff w:val="nothing"/>
      <w:lvlText w:val="%1、"/>
      <w:lvlJc w:val="left"/>
      <w:pPr>
        <w:ind w:left="0" w:firstLine="420"/>
      </w:pPr>
      <w:rPr>
        <w:rFonts w:hint="eastAsia"/>
      </w:rPr>
    </w:lvl>
  </w:abstractNum>
  <w:num w:numId="1">
    <w:abstractNumId w:val="7"/>
  </w:num>
  <w:num w:numId="2">
    <w:abstractNumId w:val="6"/>
  </w:num>
  <w:num w:numId="3">
    <w:abstractNumId w:val="0"/>
  </w:num>
  <w:num w:numId="4">
    <w:abstractNumId w:val="4"/>
  </w:num>
  <w:num w:numId="5">
    <w:abstractNumId w:val="5"/>
  </w:num>
  <w:num w:numId="6">
    <w:abstractNumId w:val="2"/>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k3ZmE3MjhlYTg5MTdkMjRiNjA1MmQ4MThmZWVkNmIifQ=="/>
  </w:docVars>
  <w:rsids>
    <w:rsidRoot w:val="00A84217"/>
    <w:rsid w:val="00025F01"/>
    <w:rsid w:val="00066EBC"/>
    <w:rsid w:val="00161301"/>
    <w:rsid w:val="002B7F04"/>
    <w:rsid w:val="00300F3E"/>
    <w:rsid w:val="00313AEC"/>
    <w:rsid w:val="00330A1C"/>
    <w:rsid w:val="003709A7"/>
    <w:rsid w:val="003943B7"/>
    <w:rsid w:val="00440CFB"/>
    <w:rsid w:val="00494FFB"/>
    <w:rsid w:val="004A39EF"/>
    <w:rsid w:val="004B3BC9"/>
    <w:rsid w:val="004D1FD3"/>
    <w:rsid w:val="005107D6"/>
    <w:rsid w:val="00594770"/>
    <w:rsid w:val="005F33E6"/>
    <w:rsid w:val="005F619E"/>
    <w:rsid w:val="00655076"/>
    <w:rsid w:val="006C71AC"/>
    <w:rsid w:val="0074552E"/>
    <w:rsid w:val="00767BEC"/>
    <w:rsid w:val="007C1261"/>
    <w:rsid w:val="007C75E5"/>
    <w:rsid w:val="0080567E"/>
    <w:rsid w:val="00830964"/>
    <w:rsid w:val="008A70A9"/>
    <w:rsid w:val="008F146D"/>
    <w:rsid w:val="008F1DD2"/>
    <w:rsid w:val="008F6D7A"/>
    <w:rsid w:val="008F6FB1"/>
    <w:rsid w:val="00902542"/>
    <w:rsid w:val="00934D0B"/>
    <w:rsid w:val="00985ED8"/>
    <w:rsid w:val="009D3E39"/>
    <w:rsid w:val="00A655E0"/>
    <w:rsid w:val="00A84217"/>
    <w:rsid w:val="00BE057B"/>
    <w:rsid w:val="00BE583F"/>
    <w:rsid w:val="00CB4BE4"/>
    <w:rsid w:val="00D04474"/>
    <w:rsid w:val="00DE0CEB"/>
    <w:rsid w:val="00DF4DFE"/>
    <w:rsid w:val="00E50F14"/>
    <w:rsid w:val="00F67A22"/>
    <w:rsid w:val="00F74E58"/>
    <w:rsid w:val="00F913A5"/>
    <w:rsid w:val="01BB3CD7"/>
    <w:rsid w:val="027F2F56"/>
    <w:rsid w:val="02DC3F04"/>
    <w:rsid w:val="03E868D9"/>
    <w:rsid w:val="04BE7733"/>
    <w:rsid w:val="04CB2483"/>
    <w:rsid w:val="05A97E0D"/>
    <w:rsid w:val="05E05ABA"/>
    <w:rsid w:val="06500E91"/>
    <w:rsid w:val="06A05249"/>
    <w:rsid w:val="06DC5711"/>
    <w:rsid w:val="071E1F77"/>
    <w:rsid w:val="08536A17"/>
    <w:rsid w:val="093201A9"/>
    <w:rsid w:val="099C619C"/>
    <w:rsid w:val="09E17066"/>
    <w:rsid w:val="0A5554B0"/>
    <w:rsid w:val="0B754EF6"/>
    <w:rsid w:val="0C281F69"/>
    <w:rsid w:val="0DD8077B"/>
    <w:rsid w:val="0DDC125D"/>
    <w:rsid w:val="0E2B5D40"/>
    <w:rsid w:val="0F9F0794"/>
    <w:rsid w:val="1021209A"/>
    <w:rsid w:val="110A4333"/>
    <w:rsid w:val="110A60E1"/>
    <w:rsid w:val="11567578"/>
    <w:rsid w:val="126A32DB"/>
    <w:rsid w:val="12AF6F40"/>
    <w:rsid w:val="132A79F2"/>
    <w:rsid w:val="14373691"/>
    <w:rsid w:val="14C15ED1"/>
    <w:rsid w:val="14C36CD2"/>
    <w:rsid w:val="15227E9D"/>
    <w:rsid w:val="15F01D49"/>
    <w:rsid w:val="168802B9"/>
    <w:rsid w:val="171D097B"/>
    <w:rsid w:val="172F4D8F"/>
    <w:rsid w:val="173914CE"/>
    <w:rsid w:val="17F35B20"/>
    <w:rsid w:val="19404D95"/>
    <w:rsid w:val="1ADC289C"/>
    <w:rsid w:val="1B214753"/>
    <w:rsid w:val="1C444B9D"/>
    <w:rsid w:val="1E07486C"/>
    <w:rsid w:val="1F212F73"/>
    <w:rsid w:val="1FF03A59"/>
    <w:rsid w:val="202A6055"/>
    <w:rsid w:val="21250469"/>
    <w:rsid w:val="22B73B21"/>
    <w:rsid w:val="22C25B61"/>
    <w:rsid w:val="23030E94"/>
    <w:rsid w:val="24D12D46"/>
    <w:rsid w:val="24EA2059"/>
    <w:rsid w:val="258864A1"/>
    <w:rsid w:val="25D9400A"/>
    <w:rsid w:val="25F50CB6"/>
    <w:rsid w:val="261A4BC0"/>
    <w:rsid w:val="26751DF6"/>
    <w:rsid w:val="26993D37"/>
    <w:rsid w:val="27111B1F"/>
    <w:rsid w:val="276460F3"/>
    <w:rsid w:val="27750300"/>
    <w:rsid w:val="27AE7775"/>
    <w:rsid w:val="27B70919"/>
    <w:rsid w:val="27F21951"/>
    <w:rsid w:val="292B4099"/>
    <w:rsid w:val="29332221"/>
    <w:rsid w:val="2939535D"/>
    <w:rsid w:val="294640EF"/>
    <w:rsid w:val="297F3B23"/>
    <w:rsid w:val="29BD5F8E"/>
    <w:rsid w:val="2A162FFC"/>
    <w:rsid w:val="2A5C1303"/>
    <w:rsid w:val="2A685F54"/>
    <w:rsid w:val="2ACB46DB"/>
    <w:rsid w:val="2CD81CF1"/>
    <w:rsid w:val="2CFC5020"/>
    <w:rsid w:val="2DD912EF"/>
    <w:rsid w:val="2E86561B"/>
    <w:rsid w:val="2E8A30AD"/>
    <w:rsid w:val="2EE144CD"/>
    <w:rsid w:val="2EFC4824"/>
    <w:rsid w:val="2F340AA1"/>
    <w:rsid w:val="303E14AB"/>
    <w:rsid w:val="304606D0"/>
    <w:rsid w:val="3115045E"/>
    <w:rsid w:val="31B23EFF"/>
    <w:rsid w:val="32696CB3"/>
    <w:rsid w:val="32A55811"/>
    <w:rsid w:val="32D260EE"/>
    <w:rsid w:val="32EC3440"/>
    <w:rsid w:val="33025288"/>
    <w:rsid w:val="336C1402"/>
    <w:rsid w:val="34345C96"/>
    <w:rsid w:val="35A95619"/>
    <w:rsid w:val="35BE7316"/>
    <w:rsid w:val="35E11274"/>
    <w:rsid w:val="35E86141"/>
    <w:rsid w:val="36851BE2"/>
    <w:rsid w:val="368A71F8"/>
    <w:rsid w:val="376E6B1A"/>
    <w:rsid w:val="37D50947"/>
    <w:rsid w:val="3809239F"/>
    <w:rsid w:val="389F6014"/>
    <w:rsid w:val="38FE5C7B"/>
    <w:rsid w:val="3A27341D"/>
    <w:rsid w:val="3BD72EE0"/>
    <w:rsid w:val="3C037A08"/>
    <w:rsid w:val="3CA01523"/>
    <w:rsid w:val="3D3D3216"/>
    <w:rsid w:val="3DCC6348"/>
    <w:rsid w:val="3E524A9F"/>
    <w:rsid w:val="3E5C76CC"/>
    <w:rsid w:val="3ECA04DB"/>
    <w:rsid w:val="3EDC25BB"/>
    <w:rsid w:val="3EE002FD"/>
    <w:rsid w:val="3FE45BCB"/>
    <w:rsid w:val="403F2E01"/>
    <w:rsid w:val="40804D5B"/>
    <w:rsid w:val="41BE41FA"/>
    <w:rsid w:val="421502BE"/>
    <w:rsid w:val="425A2175"/>
    <w:rsid w:val="426E5C20"/>
    <w:rsid w:val="42AD499A"/>
    <w:rsid w:val="42C96C1E"/>
    <w:rsid w:val="42D737C5"/>
    <w:rsid w:val="43415E67"/>
    <w:rsid w:val="44206DB5"/>
    <w:rsid w:val="45280308"/>
    <w:rsid w:val="456C2437"/>
    <w:rsid w:val="467D10B6"/>
    <w:rsid w:val="46907462"/>
    <w:rsid w:val="46AE6035"/>
    <w:rsid w:val="48126760"/>
    <w:rsid w:val="48425B85"/>
    <w:rsid w:val="4919132E"/>
    <w:rsid w:val="49325BF9"/>
    <w:rsid w:val="49F27137"/>
    <w:rsid w:val="4A0420CF"/>
    <w:rsid w:val="4B524331"/>
    <w:rsid w:val="4BBB29C6"/>
    <w:rsid w:val="4C7E2F03"/>
    <w:rsid w:val="4D153868"/>
    <w:rsid w:val="4E116CA4"/>
    <w:rsid w:val="4E393586"/>
    <w:rsid w:val="4FB54E8E"/>
    <w:rsid w:val="505A5A36"/>
    <w:rsid w:val="50707007"/>
    <w:rsid w:val="51071719"/>
    <w:rsid w:val="51594615"/>
    <w:rsid w:val="52A01E26"/>
    <w:rsid w:val="5349426B"/>
    <w:rsid w:val="53794425"/>
    <w:rsid w:val="54973596"/>
    <w:rsid w:val="54E81862"/>
    <w:rsid w:val="55886BA1"/>
    <w:rsid w:val="561D553B"/>
    <w:rsid w:val="56260894"/>
    <w:rsid w:val="56892BD1"/>
    <w:rsid w:val="5A250E62"/>
    <w:rsid w:val="5AEC372E"/>
    <w:rsid w:val="5C0F17A4"/>
    <w:rsid w:val="5C1967A5"/>
    <w:rsid w:val="5CFE4E9C"/>
    <w:rsid w:val="5DA54794"/>
    <w:rsid w:val="5DF9688E"/>
    <w:rsid w:val="5E5B12F6"/>
    <w:rsid w:val="5E677C9B"/>
    <w:rsid w:val="5F294F51"/>
    <w:rsid w:val="5F6E6E08"/>
    <w:rsid w:val="5FBB029F"/>
    <w:rsid w:val="5FCF5AF8"/>
    <w:rsid w:val="60D31618"/>
    <w:rsid w:val="6105554A"/>
    <w:rsid w:val="61377E0E"/>
    <w:rsid w:val="61790877"/>
    <w:rsid w:val="61801D5C"/>
    <w:rsid w:val="619C7C5C"/>
    <w:rsid w:val="62344338"/>
    <w:rsid w:val="62FE17C9"/>
    <w:rsid w:val="63C67212"/>
    <w:rsid w:val="64685DC4"/>
    <w:rsid w:val="65B71508"/>
    <w:rsid w:val="662B7800"/>
    <w:rsid w:val="663C1A0D"/>
    <w:rsid w:val="66C739CD"/>
    <w:rsid w:val="6753405A"/>
    <w:rsid w:val="67874F0A"/>
    <w:rsid w:val="6962178B"/>
    <w:rsid w:val="69A9560C"/>
    <w:rsid w:val="6A3271D4"/>
    <w:rsid w:val="6A892AA9"/>
    <w:rsid w:val="6AE23CAD"/>
    <w:rsid w:val="6B470DA6"/>
    <w:rsid w:val="6BF45A03"/>
    <w:rsid w:val="6C7A7686"/>
    <w:rsid w:val="6C944351"/>
    <w:rsid w:val="6D8A305E"/>
    <w:rsid w:val="6ED44ED9"/>
    <w:rsid w:val="702A6B12"/>
    <w:rsid w:val="70B83932"/>
    <w:rsid w:val="720B16B9"/>
    <w:rsid w:val="72C47013"/>
    <w:rsid w:val="73A86934"/>
    <w:rsid w:val="73C765AB"/>
    <w:rsid w:val="73DF7EA7"/>
    <w:rsid w:val="772207AC"/>
    <w:rsid w:val="773109EF"/>
    <w:rsid w:val="780A7728"/>
    <w:rsid w:val="798454F3"/>
    <w:rsid w:val="79C43D9C"/>
    <w:rsid w:val="7A3F161D"/>
    <w:rsid w:val="7B1448D9"/>
    <w:rsid w:val="7B3867F0"/>
    <w:rsid w:val="7C031132"/>
    <w:rsid w:val="7C1F175E"/>
    <w:rsid w:val="7DA261A2"/>
    <w:rsid w:val="7E3A462D"/>
    <w:rsid w:val="7E717B78"/>
    <w:rsid w:val="7F116BFC"/>
    <w:rsid w:val="7F547970"/>
    <w:rsid w:val="7F5F07EF"/>
    <w:rsid w:val="7F606315"/>
    <w:rsid w:val="7FEA3E3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6"/>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1"/>
    <w:qFormat/>
    <w:uiPriority w:val="0"/>
    <w:pPr>
      <w:jc w:val="left"/>
    </w:pPr>
    <w:rPr>
      <w:rFonts w:eastAsia="宋体"/>
      <w:szCs w:val="24"/>
    </w:rPr>
  </w:style>
  <w:style w:type="paragraph" w:styleId="12">
    <w:name w:val="Body Text"/>
    <w:basedOn w:val="1"/>
    <w:qFormat/>
    <w:uiPriority w:val="0"/>
    <w:pPr>
      <w:widowControl/>
      <w:spacing w:before="100" w:beforeAutospacing="1" w:after="100" w:afterAutospacing="1"/>
      <w:jc w:val="left"/>
    </w:pPr>
    <w:rPr>
      <w:rFonts w:ascii="宋体" w:hAnsi="宋体"/>
      <w:kern w:val="0"/>
      <w:sz w:val="24"/>
    </w:rPr>
  </w:style>
  <w:style w:type="paragraph" w:styleId="13">
    <w:name w:val="Balloon Text"/>
    <w:basedOn w:val="1"/>
    <w:link w:val="42"/>
    <w:unhideWhenUsed/>
    <w:qFormat/>
    <w:uiPriority w:val="0"/>
    <w:rPr>
      <w:sz w:val="18"/>
      <w:szCs w:val="18"/>
    </w:rPr>
  </w:style>
  <w:style w:type="paragraph" w:styleId="14">
    <w:name w:val="footer"/>
    <w:basedOn w:val="1"/>
    <w:link w:val="40"/>
    <w:unhideWhenUsed/>
    <w:qFormat/>
    <w:uiPriority w:val="99"/>
    <w:pPr>
      <w:tabs>
        <w:tab w:val="center" w:pos="4153"/>
        <w:tab w:val="right" w:pos="8306"/>
      </w:tabs>
      <w:snapToGrid w:val="0"/>
      <w:jc w:val="left"/>
    </w:pPr>
    <w:rPr>
      <w:sz w:val="18"/>
      <w:szCs w:val="18"/>
    </w:rPr>
  </w:style>
  <w:style w:type="paragraph" w:styleId="15">
    <w:name w:val="header"/>
    <w:basedOn w:val="1"/>
    <w:link w:val="39"/>
    <w:unhideWhenUsed/>
    <w:qFormat/>
    <w:uiPriority w:val="99"/>
    <w:pPr>
      <w:tabs>
        <w:tab w:val="center" w:pos="4153"/>
        <w:tab w:val="right" w:pos="8306"/>
      </w:tabs>
      <w:snapToGrid w:val="0"/>
      <w:jc w:val="center"/>
    </w:pPr>
    <w:rPr>
      <w:sz w:val="18"/>
      <w:szCs w:val="18"/>
    </w:rPr>
  </w:style>
  <w:style w:type="paragraph" w:styleId="16">
    <w:name w:val="Subtitle"/>
    <w:basedOn w:val="1"/>
    <w:next w:val="1"/>
    <w:link w:val="3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8">
    <w:name w:val="Body Text First Indent"/>
    <w:basedOn w:val="12"/>
    <w:semiHidden/>
    <w:qFormat/>
    <w:uiPriority w:val="0"/>
    <w:pPr>
      <w:snapToGrid w:val="0"/>
      <w:spacing w:before="120"/>
      <w:ind w:firstLine="476"/>
    </w:pPr>
    <w:rPr>
      <w:spacing w:val="2"/>
    </w:rPr>
  </w:style>
  <w:style w:type="character" w:customStyle="1" w:styleId="21">
    <w:name w:val="标题 1 Char"/>
    <w:basedOn w:val="20"/>
    <w:link w:val="2"/>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Char"/>
    <w:basedOn w:val="20"/>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Char"/>
    <w:basedOn w:val="20"/>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Char"/>
    <w:basedOn w:val="20"/>
    <w:link w:val="5"/>
    <w:semiHidden/>
    <w:qFormat/>
    <w:uiPriority w:val="9"/>
    <w:rPr>
      <w:rFonts w:cstheme="majorBidi"/>
      <w:color w:val="104862" w:themeColor="accent1" w:themeShade="BF"/>
      <w:sz w:val="28"/>
      <w:szCs w:val="28"/>
    </w:rPr>
  </w:style>
  <w:style w:type="character" w:customStyle="1" w:styleId="25">
    <w:name w:val="标题 5 Char"/>
    <w:basedOn w:val="20"/>
    <w:link w:val="6"/>
    <w:semiHidden/>
    <w:qFormat/>
    <w:uiPriority w:val="9"/>
    <w:rPr>
      <w:rFonts w:cstheme="majorBidi"/>
      <w:color w:val="104862" w:themeColor="accent1" w:themeShade="BF"/>
      <w:sz w:val="24"/>
    </w:rPr>
  </w:style>
  <w:style w:type="character" w:customStyle="1" w:styleId="26">
    <w:name w:val="标题 6 Char"/>
    <w:basedOn w:val="20"/>
    <w:link w:val="7"/>
    <w:semiHidden/>
    <w:qFormat/>
    <w:uiPriority w:val="9"/>
    <w:rPr>
      <w:rFonts w:cstheme="majorBidi"/>
      <w:b/>
      <w:bCs/>
      <w:color w:val="104862" w:themeColor="accent1" w:themeShade="BF"/>
    </w:rPr>
  </w:style>
  <w:style w:type="character" w:customStyle="1" w:styleId="27">
    <w:name w:val="标题 7 Char"/>
    <w:basedOn w:val="2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Char"/>
    <w:basedOn w:val="2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Char"/>
    <w:basedOn w:val="2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Char"/>
    <w:basedOn w:val="20"/>
    <w:link w:val="17"/>
    <w:qFormat/>
    <w:uiPriority w:val="10"/>
    <w:rPr>
      <w:rFonts w:asciiTheme="majorHAnsi" w:hAnsiTheme="majorHAnsi" w:eastAsiaTheme="majorEastAsia" w:cstheme="majorBidi"/>
      <w:spacing w:val="-10"/>
      <w:kern w:val="28"/>
      <w:sz w:val="56"/>
      <w:szCs w:val="56"/>
    </w:rPr>
  </w:style>
  <w:style w:type="character" w:customStyle="1" w:styleId="31">
    <w:name w:val="副标题 Char"/>
    <w:basedOn w:val="20"/>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Char"/>
    <w:basedOn w:val="20"/>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明显强调1"/>
    <w:basedOn w:val="20"/>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Char"/>
    <w:basedOn w:val="20"/>
    <w:link w:val="36"/>
    <w:qFormat/>
    <w:uiPriority w:val="30"/>
    <w:rPr>
      <w:i/>
      <w:iCs/>
      <w:color w:val="104862" w:themeColor="accent1" w:themeShade="BF"/>
    </w:rPr>
  </w:style>
  <w:style w:type="character" w:customStyle="1" w:styleId="38">
    <w:name w:val="明显参考1"/>
    <w:basedOn w:val="20"/>
    <w:qFormat/>
    <w:uiPriority w:val="32"/>
    <w:rPr>
      <w:b/>
      <w:bCs/>
      <w:smallCaps/>
      <w:color w:val="104862" w:themeColor="accent1" w:themeShade="BF"/>
      <w:spacing w:val="5"/>
    </w:rPr>
  </w:style>
  <w:style w:type="character" w:customStyle="1" w:styleId="39">
    <w:name w:val="页眉 Char"/>
    <w:basedOn w:val="20"/>
    <w:link w:val="15"/>
    <w:qFormat/>
    <w:uiPriority w:val="99"/>
    <w:rPr>
      <w:sz w:val="18"/>
      <w:szCs w:val="18"/>
    </w:rPr>
  </w:style>
  <w:style w:type="character" w:customStyle="1" w:styleId="40">
    <w:name w:val="页脚 Char"/>
    <w:basedOn w:val="20"/>
    <w:link w:val="14"/>
    <w:qFormat/>
    <w:uiPriority w:val="99"/>
    <w:rPr>
      <w:sz w:val="18"/>
      <w:szCs w:val="18"/>
    </w:rPr>
  </w:style>
  <w:style w:type="character" w:customStyle="1" w:styleId="41">
    <w:name w:val="批注文字 Char"/>
    <w:basedOn w:val="20"/>
    <w:link w:val="11"/>
    <w:qFormat/>
    <w:uiPriority w:val="0"/>
    <w:rPr>
      <w:rFonts w:eastAsia="宋体"/>
      <w:sz w:val="21"/>
    </w:rPr>
  </w:style>
  <w:style w:type="character" w:customStyle="1" w:styleId="42">
    <w:name w:val="批注框文本 Char"/>
    <w:basedOn w:val="20"/>
    <w:link w:val="13"/>
    <w:qFormat/>
    <w:uiPriority w:val="0"/>
    <w:rPr>
      <w:rFonts w:asciiTheme="minorHAnsi" w:hAnsiTheme="minorHAnsi" w:eastAsiaTheme="minorEastAsia" w:cstheme="minorBidi"/>
      <w:kern w:val="2"/>
      <w:sz w:val="18"/>
      <w:szCs w:val="18"/>
    </w:rPr>
  </w:style>
  <w:style w:type="paragraph" w:customStyle="1" w:styleId="43">
    <w:name w:val="Table Text"/>
    <w:basedOn w:val="1"/>
    <w:semiHidden/>
    <w:qFormat/>
    <w:uiPriority w:val="0"/>
    <w:rPr>
      <w:rFonts w:ascii="宋体" w:hAnsi="宋体" w:eastAsia="宋体" w:cs="宋体"/>
      <w:sz w:val="24"/>
      <w:szCs w:val="24"/>
      <w:lang w:val="en-US" w:eastAsia="en-US" w:bidi="ar-SA"/>
    </w:rPr>
  </w:style>
  <w:style w:type="paragraph" w:customStyle="1" w:styleId="4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9380</Words>
  <Characters>9765</Characters>
  <Lines>91</Lines>
  <Paragraphs>25</Paragraphs>
  <TotalTime>60</TotalTime>
  <ScaleCrop>false</ScaleCrop>
  <LinksUpToDate>false</LinksUpToDate>
  <CharactersWithSpaces>9810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2024-07-25T07:26:00Z</dcterms:created>
  <dc:creator>娟 刘</dc:creator>
  <cp:lastModifiedBy>赵旭晖</cp:lastModifiedBy>
  <cp:lastPrinted>2025-07-03T03:18:00Z</cp:lastPrinted>
  <dcterms:modified xsi:type="dcterms:W3CDTF">2026-07-06T08:52:07Z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3C3F1364654148D696C69891B22CB08E_13</vt:lpwstr>
  </property>
  <property fmtid="{D5CDD505-2E9C-101B-9397-08002B2CF9AE}" pid="4" name="KSOTemplateDocerSaveRecord">
    <vt:lpwstr>eyJoZGlkIjoiMWJkNjQwNDgyNDBjZDA2ZGQxNDUxMGJkNjcyOTdiNzMiLCJ1c2VySWQiOiIzMDk3MDg0MjkifQ==</vt:lpwstr>
  </property>
</Properties>
</file>