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仿宋_GB2312" w:eastAsia="仿宋_GB2312" w:hAnsiTheme="minorEastAsia" w:cs="方正黑体_GBK" w:hint="eastAsia"/>
          <w:sz w:val="28"/>
          <w:szCs w:val="28"/>
        </w:rPr>
      </w:pPr>
      <w:r>
        <w:rPr>
          <w:rFonts w:ascii="仿宋_GB2312" w:eastAsia="仿宋_GB2312" w:hAnsiTheme="minorEastAsia" w:cs="方正黑体_GBK" w:hint="eastAsia"/>
          <w:sz w:val="28"/>
          <w:szCs w:val="28"/>
        </w:rPr>
        <w:t>附件3</w:t>
      </w:r>
    </w:p>
    <w:p>
      <w:pPr>
        <w:spacing w:line="560" w:lineRule="exact"/>
        <w:rPr>
          <w:rFonts w:ascii="仿宋_GB2312" w:eastAsia="仿宋_GB2312" w:hAnsiTheme="minorEastAsia" w:hint="eastAsia"/>
          <w:sz w:val="32"/>
          <w:szCs w:val="32"/>
        </w:rPr>
      </w:pPr>
    </w:p>
    <w:p>
      <w:pPr>
        <w:spacing w:line="560" w:lineRule="exact"/>
        <w:jc w:val="center"/>
        <w:rPr>
          <w:rFonts w:ascii="仿宋_GB2312" w:eastAsia="仿宋_GB2312" w:hAnsiTheme="minorEastAsia" w:cs="方正大标宋_GBK" w:hint="eastAsia"/>
          <w:sz w:val="42"/>
          <w:szCs w:val="42"/>
        </w:rPr>
      </w:pPr>
      <w:r>
        <w:rPr>
          <w:rFonts w:ascii="仿宋_GB2312" w:eastAsia="仿宋_GB2312" w:hAnsiTheme="minorEastAsia" w:cs="方正大标宋_GBK" w:hint="eastAsia"/>
          <w:kern w:val="0"/>
          <w:sz w:val="42"/>
          <w:szCs w:val="42"/>
        </w:rPr>
        <w:t>继续教育施教机构及</w:t>
      </w:r>
      <w:r>
        <w:rPr>
          <w:rFonts w:ascii="仿宋_GB2312" w:eastAsia="仿宋_GB2312" w:hAnsiTheme="minorEastAsia" w:cs="方正大标宋_GBK" w:hint="eastAsia"/>
          <w:sz w:val="42"/>
          <w:szCs w:val="42"/>
        </w:rPr>
        <w:t>备案材料要求</w:t>
      </w:r>
    </w:p>
    <w:p>
      <w:pPr>
        <w:spacing w:line="560" w:lineRule="exact"/>
        <w:jc w:val="center"/>
        <w:rPr>
          <w:rFonts w:ascii="仿宋_GB2312" w:eastAsia="仿宋_GB2312" w:hAnsiTheme="minorEastAsia" w:cs="方正大标宋_GBK" w:hint="eastAsia"/>
          <w:sz w:val="42"/>
          <w:szCs w:val="42"/>
        </w:rPr>
      </w:pPr>
    </w:p>
    <w:p>
      <w:pPr>
        <w:spacing w:line="560" w:lineRule="exact"/>
        <w:ind w:left="600"/>
        <w:rPr>
          <w:rFonts w:ascii="仿宋_GB2312" w:eastAsia="仿宋_GB2312" w:hAnsiTheme="minorEastAsia" w:cs="方正黑体_GBK" w:hint="eastAsia"/>
          <w:sz w:val="32"/>
          <w:szCs w:val="32"/>
        </w:rPr>
      </w:pPr>
      <w:r>
        <w:rPr>
          <w:rFonts w:ascii="仿宋_GB2312" w:eastAsia="仿宋_GB2312" w:hAnsiTheme="minorEastAsia" w:cs="方正黑体_GBK" w:hint="eastAsia"/>
          <w:sz w:val="30"/>
          <w:szCs w:val="30"/>
        </w:rPr>
        <w:t>一</w:t>
      </w:r>
      <w:bookmarkStart w:id="0" w:name="_GoBack"/>
      <w:r>
        <w:rPr>
          <w:rFonts w:ascii="仿宋_GB2312" w:eastAsia="仿宋_GB2312" w:hAnsiTheme="minorEastAsia" w:cs="方正黑体_GBK" w:hint="eastAsia"/>
          <w:sz w:val="32"/>
          <w:szCs w:val="32"/>
        </w:rPr>
        <w:t>、远程施教机构应提供以下备案材料并满足相关要求</w:t>
      </w:r>
    </w:p>
    <w:p>
      <w:pPr>
        <w:spacing w:line="560" w:lineRule="exact"/>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 xml:space="preserve">　　（一）统一社会信用代码证及申请单位承诺函。</w:t>
      </w:r>
    </w:p>
    <w:p>
      <w:pPr>
        <w:spacing w:line="560" w:lineRule="exact"/>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 xml:space="preserve">　　（二）独立域名的远程教育网站相关证明。如网站为自主开发的，需提供软件著作权登记证书；如使用非自主开发的网站，则必须提供可使用该网站的证明材料，及相应的软件著作权登记证书。</w:t>
      </w:r>
    </w:p>
    <w:p>
      <w:pPr>
        <w:spacing w:line="560" w:lineRule="exact"/>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 xml:space="preserve">　　（三）培训师资清单及授课教师简介、联系方式及职称证书等证明材料。申请单位应拥有稳定的师资团队，授课教师不少于40名，其中：具有长期从事会计教学副教授（副研究员、高级会计师、高级审计师、高级经济师）及以上职称的授课教师15人以上，会计学讲师（会计师）10人以上。同时，以上从事会计教学的每位老师近三年（即2024年度、2025年度、2026年1月-5月，下同）在本机构录制课程的不低于30课时。申请单位需按照要求认真填列培训师资清单。</w:t>
      </w:r>
    </w:p>
    <w:p>
      <w:pPr>
        <w:spacing w:line="560" w:lineRule="exact"/>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 xml:space="preserve">　　（四）培训课程清单。申请单位根据《2026年度广东省会计人员继续教育专业科目重点学习内容》，分类型分层次制定继续教育课程，并填列培训课程清单。截至2026年5月累计课时不少于1000学时，其中近三年录制的课时不少于500学时。同时具备课程持续开发能力，2025年度新增继续教育</w:t>
      </w:r>
      <w:r>
        <w:rPr>
          <w:rFonts w:ascii="仿宋_GB2312" w:eastAsia="仿宋_GB2312" w:hAnsiTheme="minorEastAsia" w:cs="方正仿宋_GBK" w:hint="eastAsia"/>
          <w:sz w:val="32"/>
          <w:szCs w:val="32"/>
        </w:rPr>
        <w:lastRenderedPageBreak/>
        <w:t>课时不少于300学时。</w:t>
      </w:r>
    </w:p>
    <w:p>
      <w:pPr>
        <w:spacing w:line="560" w:lineRule="exact"/>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 xml:space="preserve">　　（五）平台功能说明材料。证明平台能够提供PC和手机、PAD等多种设备上采用浏览器方式的视频讲座，需要支持主流的浏览器：包括IE（8.0及以上版本），Chrome、safari、</w:t>
      </w:r>
      <w:proofErr w:type="spellStart"/>
      <w:r>
        <w:rPr>
          <w:rFonts w:ascii="仿宋_GB2312" w:eastAsia="仿宋_GB2312" w:hAnsiTheme="minorEastAsia" w:cs="方正仿宋_GBK" w:hint="eastAsia"/>
          <w:sz w:val="32"/>
          <w:szCs w:val="32"/>
        </w:rPr>
        <w:t>firefox</w:t>
      </w:r>
      <w:proofErr w:type="spellEnd"/>
      <w:r>
        <w:rPr>
          <w:rFonts w:ascii="仿宋_GB2312" w:eastAsia="仿宋_GB2312" w:hAnsiTheme="minorEastAsia" w:cs="方正仿宋_GBK" w:hint="eastAsia"/>
          <w:sz w:val="32"/>
          <w:szCs w:val="32"/>
        </w:rPr>
        <w:t>，为不同带宽提供能够自适应的流媒体码率，保证在不同网络带宽环境下流畅地进行网上学习。如有开发手机端APP应用程序，应有关于手机端APP功能的说明材料。</w:t>
      </w:r>
    </w:p>
    <w:p>
      <w:pPr>
        <w:spacing w:line="560" w:lineRule="exact"/>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 xml:space="preserve">　　（六）技术支持说明材料。系统设计应采用市场领先和成熟的技术，采用业界先进完善的媒体技术制作课件，保证学员能流畅地进行网上学习，课程需要能支持3000人同时在线播放的性能。系统必须具备防作弊功能，包括课程播放过程中弹出知识</w:t>
      </w:r>
      <w:proofErr w:type="gramStart"/>
      <w:r>
        <w:rPr>
          <w:rFonts w:ascii="仿宋_GB2312" w:eastAsia="仿宋_GB2312" w:hAnsiTheme="minorEastAsia" w:cs="方正仿宋_GBK" w:hint="eastAsia"/>
          <w:sz w:val="32"/>
          <w:szCs w:val="32"/>
        </w:rPr>
        <w:t>点回答</w:t>
      </w:r>
      <w:proofErr w:type="gramEnd"/>
      <w:r>
        <w:rPr>
          <w:rFonts w:ascii="仿宋_GB2312" w:eastAsia="仿宋_GB2312" w:hAnsiTheme="minorEastAsia" w:cs="方正仿宋_GBK" w:hint="eastAsia"/>
          <w:sz w:val="32"/>
          <w:szCs w:val="32"/>
        </w:rPr>
        <w:t>问题、手机验证码、可疑IP统计等多种方式。会计人员在课程学习完毕后，系统需具有课程评价功能。</w:t>
      </w:r>
    </w:p>
    <w:p>
      <w:pPr>
        <w:spacing w:line="560" w:lineRule="exact"/>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 xml:space="preserve">　　（七）客服及服务方案说明。至少配备两名以上专职为本项目服务的专业维护技术人员，负责系统维护、用户管理、安全管理、数据管理、设备维护等，为学员提供24小时在线不间断的网络服务。应提供400、800等免费客服电话、传真、电子邮件、网络在线等方式为会计人员答疑解惑，同时保证24小时的人工电话答疑服务。</w:t>
      </w:r>
    </w:p>
    <w:p>
      <w:pPr>
        <w:spacing w:line="560" w:lineRule="exact"/>
        <w:rPr>
          <w:rFonts w:ascii="仿宋_GB2312" w:eastAsia="仿宋_GB2312" w:hAnsiTheme="minorEastAsia" w:cs="方正黑体_GBK" w:hint="eastAsia"/>
          <w:sz w:val="32"/>
          <w:szCs w:val="32"/>
        </w:rPr>
      </w:pPr>
      <w:r>
        <w:rPr>
          <w:rFonts w:ascii="仿宋_GB2312" w:eastAsia="仿宋_GB2312" w:hAnsiTheme="minorEastAsia" w:cs="方正黑体_GBK" w:hint="eastAsia"/>
          <w:sz w:val="32"/>
          <w:szCs w:val="32"/>
        </w:rPr>
        <w:t xml:space="preserve">　　二、面授施教机构应提供以下备案材料并满足相关要求</w:t>
      </w:r>
    </w:p>
    <w:p>
      <w:pPr>
        <w:spacing w:line="560" w:lineRule="exact"/>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 xml:space="preserve">　　（一）统一社会信用代码证及申请单位承诺函。</w:t>
      </w:r>
    </w:p>
    <w:p>
      <w:pPr>
        <w:spacing w:line="560" w:lineRule="exact"/>
        <w:ind w:firstLine="600"/>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（二）申请单位获批准举办培训业务的相关证明材料。</w:t>
      </w:r>
    </w:p>
    <w:p>
      <w:pPr>
        <w:spacing w:line="560" w:lineRule="exact"/>
        <w:ind w:firstLine="600"/>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（三）申请单位具备承担继续教育相适应的教学设施、有</w:t>
      </w:r>
      <w:r>
        <w:rPr>
          <w:rFonts w:ascii="仿宋_GB2312" w:eastAsia="仿宋_GB2312" w:hAnsiTheme="minorEastAsia" w:cs="方正仿宋_GBK" w:hint="eastAsia"/>
          <w:sz w:val="32"/>
          <w:szCs w:val="32"/>
        </w:rPr>
        <w:lastRenderedPageBreak/>
        <w:t>相应的教学场所。</w:t>
      </w:r>
    </w:p>
    <w:p>
      <w:pPr>
        <w:spacing w:line="560" w:lineRule="exact"/>
        <w:ind w:firstLine="600"/>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四）培训师资清单及授课教师简介、联系方式及职称证书等证明材料。申请单位应拥有稳定的师资团队，授课教师从事会计教学工作超过三年，并具有会计学讲师（会计师、审计师、经济师）及以上职称。申请单位需按照要求认真填列培训师资清单。</w:t>
      </w:r>
    </w:p>
    <w:p>
      <w:pPr>
        <w:spacing w:line="560" w:lineRule="exact"/>
        <w:rPr>
          <w:rFonts w:ascii="仿宋_GB2312" w:eastAsia="仿宋_GB2312" w:hAnsiTheme="minorEastAsia" w:cs="方正仿宋_GBK" w:hint="eastAsia"/>
          <w:sz w:val="32"/>
          <w:szCs w:val="32"/>
        </w:rPr>
      </w:pPr>
      <w:r>
        <w:rPr>
          <w:rFonts w:ascii="仿宋_GB2312" w:eastAsia="仿宋_GB2312" w:hAnsiTheme="minorEastAsia" w:cs="方正仿宋_GBK" w:hint="eastAsia"/>
          <w:sz w:val="32"/>
          <w:szCs w:val="32"/>
        </w:rPr>
        <w:t xml:space="preserve">　　（五）培训课程清单。申请单位根据《2026年度广东省会计人员继续教育专业科目重点学习内容》制定继续教育课程，并填列培训课程清单。</w:t>
      </w:r>
    </w:p>
    <w:p>
      <w:pPr>
        <w:spacing w:line="560" w:lineRule="exact"/>
        <w:rPr>
          <w:rFonts w:ascii="仿宋_GB2312" w:eastAsia="仿宋_GB2312" w:hAnsiTheme="minorEastAsia" w:cs="方正黑体_GBK" w:hint="eastAsia"/>
          <w:sz w:val="32"/>
          <w:szCs w:val="32"/>
        </w:rPr>
      </w:pPr>
      <w:r>
        <w:rPr>
          <w:rFonts w:ascii="仿宋_GB2312" w:eastAsia="仿宋_GB2312" w:hAnsiTheme="minorEastAsia" w:cs="方正黑体_GBK" w:hint="eastAsia"/>
          <w:sz w:val="32"/>
          <w:szCs w:val="32"/>
        </w:rPr>
        <w:t xml:space="preserve">　　三、相关材料格式可参考《广东省财政厅关于开展2024年度省属会计专业技术人员继续教育远程施教机构备案管理工作的通知》。</w:t>
      </w:r>
      <w:bookmarkEnd w:id="0"/>
    </w:p>
    <w:sectPr>
      <w:headerReference w:type="default" r:id="rId8"/>
      <w:footerReference w:type="default" r:id="rId9"/>
      <w:pgSz w:w="11906" w:h="16838"/>
      <w:pgMar w:top="1701" w:right="1701" w:bottom="1701" w:left="1701"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黑体_GBK">
    <w:altName w:val="Arial Unicode MS"/>
    <w:charset w:val="86"/>
    <w:family w:val="auto"/>
    <w:pitch w:val="default"/>
    <w:sig w:usb0="00000000" w:usb1="080E0000" w:usb2="00000000" w:usb3="00000000" w:csb0="00040000" w:csb1="00000000"/>
  </w:font>
  <w:font w:name="方正大标宋_GBK">
    <w:altName w:val="Arial Unicode MS"/>
    <w:charset w:val="86"/>
    <w:family w:val="auto"/>
    <w:pitch w:val="default"/>
    <w:sig w:usb0="00000000" w:usb1="080E0000" w:usb2="00000000" w:usb3="00000000" w:csb0="00040000" w:csb1="00000000"/>
  </w:font>
  <w:font w:name="方正仿宋_GBK">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Text Box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a3"/>
                            <w:rPr>
                              <w:rFonts w:ascii="方正仿宋_GBK" w:eastAsia="方正仿宋_GBK" w:hAnsi="方正仿宋_GBK" w:cs="方正仿宋_GBK"/>
                              <w:sz w:val="24"/>
                            </w:rPr>
                          </w:pPr>
                          <w:r>
                            <w:rPr>
                              <w:rFonts w:ascii="方正仿宋_GBK" w:eastAsia="方正仿宋_GBK" w:hAnsi="方正仿宋_GBK" w:cs="方正仿宋_GBK" w:hint="eastAsia"/>
                              <w:sz w:val="24"/>
                            </w:rPr>
                            <w:fldChar w:fldCharType="begin"/>
                          </w:r>
                          <w:r>
                            <w:rPr>
                              <w:rFonts w:ascii="方正仿宋_GBK" w:eastAsia="方正仿宋_GBK" w:hAnsi="方正仿宋_GBK" w:cs="方正仿宋_GBK" w:hint="eastAsia"/>
                              <w:sz w:val="24"/>
                            </w:rPr>
                            <w:instrText xml:space="preserve"> PAGE  \* MERGEFORMAT </w:instrText>
                          </w:r>
                          <w:r>
                            <w:rPr>
                              <w:rFonts w:ascii="方正仿宋_GBK" w:eastAsia="方正仿宋_GBK" w:hAnsi="方正仿宋_GBK" w:cs="方正仿宋_GBK" w:hint="eastAsia"/>
                              <w:sz w:val="24"/>
                            </w:rPr>
                            <w:fldChar w:fldCharType="separate"/>
                          </w:r>
                          <w:r>
                            <w:rPr>
                              <w:rFonts w:ascii="方正仿宋_GBK" w:eastAsia="方正仿宋_GBK" w:hAnsi="方正仿宋_GBK" w:cs="方正仿宋_GBK"/>
                              <w:noProof/>
                              <w:sz w:val="24"/>
                            </w:rPr>
                            <w:t>3</w:t>
                          </w:r>
                          <w:r>
                            <w:rPr>
                              <w:rFonts w:ascii="方正仿宋_GBK" w:eastAsia="方正仿宋_GBK" w:hAnsi="方正仿宋_GBK" w:cs="方正仿宋_GBK" w:hint="eastAsia"/>
                              <w:sz w:val="24"/>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Text Box 1025" o:spid="_x0000_s1026"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" filled="f" stroked="f">
              <v:textbox style="mso-fit-shape-to-text:t" inset="0,0,0,0">
                <w:txbxContent>
                  <w:p>
                    <w:pPr>
                      <w:pStyle w:val="a3"/>
                      <w:rPr>
                        <w:rFonts w:ascii="方正仿宋_GBK" w:eastAsia="方正仿宋_GBK" w:hAnsi="方正仿宋_GBK" w:cs="方正仿宋_GBK"/>
                        <w:sz w:val="24"/>
                      </w:rPr>
                    </w:pPr>
                    <w:r>
                      <w:rPr>
                        <w:rFonts w:ascii="方正仿宋_GBK" w:eastAsia="方正仿宋_GBK" w:hAnsi="方正仿宋_GBK" w:cs="方正仿宋_GBK" w:hint="eastAsia"/>
                        <w:sz w:val="24"/>
                      </w:rPr>
                      <w:fldChar w:fldCharType="begin"/>
                    </w:r>
                    <w:r>
                      <w:rPr>
                        <w:rFonts w:ascii="方正仿宋_GBK" w:eastAsia="方正仿宋_GBK" w:hAnsi="方正仿宋_GBK" w:cs="方正仿宋_GBK" w:hint="eastAsia"/>
                        <w:sz w:val="24"/>
                      </w:rPr>
                      <w:instrText xml:space="preserve"> PAGE  \* MERGEFORMAT </w:instrText>
                    </w:r>
                    <w:r>
                      <w:rPr>
                        <w:rFonts w:ascii="方正仿宋_GBK" w:eastAsia="方正仿宋_GBK" w:hAnsi="方正仿宋_GBK" w:cs="方正仿宋_GBK" w:hint="eastAsia"/>
                        <w:sz w:val="24"/>
                      </w:rPr>
                      <w:fldChar w:fldCharType="separate"/>
                    </w:r>
                    <w:r>
                      <w:rPr>
                        <w:rFonts w:ascii="方正仿宋_GBK" w:eastAsia="方正仿宋_GBK" w:hAnsi="方正仿宋_GBK" w:cs="方正仿宋_GBK"/>
                        <w:noProof/>
                        <w:sz w:val="24"/>
                      </w:rPr>
                      <w:t>3</w:t>
                    </w:r>
                    <w:r>
                      <w:rPr>
                        <w:rFonts w:ascii="方正仿宋_GBK" w:eastAsia="方正仿宋_GBK" w:hAnsi="方正仿宋_GBK" w:cs="方正仿宋_GBK" w:hint="eastAsia"/>
                        <w:sz w:val="24"/>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revisionView w:markup="0"/>
  <w:defaultTabStop w:val="420"/>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qFormat/>
    <w:pPr>
      <w:widowControl w:val="0"/>
      <w:suppressAutoHyphens/>
      <w:spacing w:before="100" w:beforeAutospacing="1" w:after="100" w:afterAutospacing="1"/>
    </w:pPr>
    <w:rPr>
      <w:sz w:val="24"/>
      <w:szCs w:val="24"/>
    </w:rPr>
  </w:style>
  <w:style w:type="character" w:styleId="a6">
    <w:name w:val="Strong"/>
    <w:qFormat/>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qFormat/>
    <w:pPr>
      <w:widowControl w:val="0"/>
      <w:suppressAutoHyphens/>
      <w:spacing w:before="100" w:beforeAutospacing="1" w:after="100" w:afterAutospacing="1"/>
    </w:pPr>
    <w:rPr>
      <w:sz w:val="24"/>
      <w:szCs w:val="24"/>
    </w:rPr>
  </w:style>
  <w:style w:type="character" w:styleId="a6">
    <w:name w:val="Strong"/>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157270088</TotalTime>
  <Pages>3</Pages>
  <Words>204</Words>
  <Characters>1163</Characters>
  <Application>Microsoft Office Word</Application>
  <DocSecurity>0</DocSecurity>
  <Lines>9</Lines>
  <Paragraphs>2</Paragraphs>
  <ScaleCrop>false</ScaleCrop>
  <Company>Chinese ORG</Company>
  <LinksUpToDate>false</LinksUpToDate>
  <CharactersWithSpaces>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李娇梅</dc:creator>
  <cp:lastModifiedBy>潘静</cp:lastModifiedBy>
  <cp:revision>4</cp:revision>
  <dcterms:created xsi:type="dcterms:W3CDTF">2025-06-14T01:37:00Z</dcterms:created>
  <dcterms:modified xsi:type="dcterms:W3CDTF">2026-06-08T03:28:00Z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2052-11.8.2.12009</vt:lpwstr>
  </property>
  <property fmtid="{D5CDD505-2E9C-101B-9397-08002B2CF9AE}" pid="3" name="ICV">
    <vt:lpwstr>8BE3487AB3BD0D9CB295226A9B5DCC70</vt:lpwstr>
  </property>
</Properties>
</file>