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B20D5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新会区经营性自建房消防安全管理办法</w:t>
      </w:r>
    </w:p>
    <w:p w14:paraId="1FEABFD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公开征求</w:t>
      </w:r>
      <w:r>
        <w:rPr>
          <w:rFonts w:hint="eastAsia" w:ascii="楷体_GB2312" w:hAnsi="楷体_GB2312" w:eastAsia="楷体_GB2312" w:cs="楷体_GB2312"/>
          <w:color w:val="auto"/>
          <w:sz w:val="32"/>
          <w:szCs w:val="32"/>
        </w:rPr>
        <w:t>意见稿）</w:t>
      </w:r>
    </w:p>
    <w:p w14:paraId="7793DD7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14:paraId="1B873E4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第一章 总则</w:t>
      </w:r>
    </w:p>
    <w:p w14:paraId="25303EA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第一条【立法目的】</w:t>
      </w:r>
      <w:r>
        <w:rPr>
          <w:rFonts w:hint="eastAsia" w:ascii="仿宋_GB2312" w:hAnsi="仿宋_GB2312" w:eastAsia="仿宋_GB2312" w:cs="仿宋_GB2312"/>
          <w:color w:val="auto"/>
          <w:sz w:val="32"/>
          <w:szCs w:val="32"/>
          <w:lang w:val="en-US" w:eastAsia="zh-CN"/>
        </w:rPr>
        <w:t>为了加强经营性自建房消防安全管理，预防和减少火灾事故，保障人民群众生命和财产安全，根据《中华人民共和国安全生产法》《中华人民共和国消防法》《广东省实施〈中华人民共和国消防法〉办法》等有关法律法规，结合本区实际，制定本办法。</w:t>
      </w:r>
    </w:p>
    <w:p w14:paraId="34805E3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第二条【适用范围</w:t>
      </w:r>
      <w:bookmarkStart w:id="0" w:name="_GoBack"/>
      <w:bookmarkEnd w:id="0"/>
      <w:r>
        <w:rPr>
          <w:rFonts w:hint="eastAsia" w:ascii="楷体_GB2312" w:hAnsi="楷体_GB2312" w:eastAsia="楷体_GB2312" w:cs="楷体_GB2312"/>
          <w:b/>
          <w:bCs/>
          <w:color w:val="auto"/>
          <w:sz w:val="32"/>
          <w:szCs w:val="32"/>
          <w:lang w:val="en-US" w:eastAsia="zh-CN"/>
        </w:rPr>
        <w:t>】</w:t>
      </w:r>
      <w:r>
        <w:rPr>
          <w:rFonts w:hint="eastAsia" w:ascii="仿宋_GB2312" w:hAnsi="仿宋_GB2312" w:eastAsia="仿宋_GB2312" w:cs="仿宋_GB2312"/>
          <w:color w:val="auto"/>
          <w:sz w:val="32"/>
          <w:szCs w:val="32"/>
          <w:lang w:val="en-US" w:eastAsia="zh-CN"/>
        </w:rPr>
        <w:t>本办法适用于本区行政区域内用于生产加工、商业经营的经营性自建房，不适用于住宅类自建房。</w:t>
      </w:r>
    </w:p>
    <w:p w14:paraId="1C1638E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第三条【工作原则】</w:t>
      </w:r>
      <w:r>
        <w:rPr>
          <w:rFonts w:hint="eastAsia" w:ascii="仿宋_GB2312" w:hAnsi="仿宋_GB2312" w:eastAsia="仿宋_GB2312" w:cs="仿宋_GB2312"/>
          <w:color w:val="auto"/>
          <w:sz w:val="32"/>
          <w:szCs w:val="32"/>
          <w:lang w:val="en-US" w:eastAsia="zh-CN"/>
        </w:rPr>
        <w:t>经营性自建房消防安全管理坚持安全第一、预防为主、综合治理的方针，落实所有权人、使用人主体责任，实行属地统筹、行业监管、分类施策、重点防控、闭环整改的管理机制。</w:t>
      </w:r>
    </w:p>
    <w:p w14:paraId="0A42BFF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rPr>
        <w:t>第二章 消防安全责任</w:t>
      </w:r>
    </w:p>
    <w:p w14:paraId="526D513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第四条【主体责任】</w:t>
      </w:r>
      <w:r>
        <w:rPr>
          <w:rFonts w:hint="eastAsia" w:ascii="仿宋_GB2312" w:hAnsi="仿宋_GB2312" w:eastAsia="仿宋_GB2312" w:cs="仿宋_GB2312"/>
          <w:color w:val="auto"/>
          <w:sz w:val="32"/>
          <w:szCs w:val="32"/>
          <w:lang w:val="en-US" w:eastAsia="zh-CN"/>
        </w:rPr>
        <w:t>经营性自建房所有权人为经营性自建房的第一责任人，对房屋消防安全负总责，应确保建筑符合消防技术标准，提供与建筑相适应的消防设施；督促使用人落实消防安全责任制，定期组织隐患排查并督促整改；不得阻碍国家机关工作人员依法执行职务，应如实提供情况。</w:t>
      </w:r>
    </w:p>
    <w:p w14:paraId="6991A1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经营性自建房使用人为经营性自建房的消防安全直接责任人，对使用区域消防安全承担直接责任，应确保使用区域的消防设施符合符合消防技术标准；应落实消防安全责任制，保障疏散畅通；保持消防设施、器材完好有效，定期自查自纠；组织员工培训、演练，发生火灾立即报警、处置、疏散；不得阻碍国家机关工作人员依法执行职务，应如实提供情况。</w:t>
      </w:r>
    </w:p>
    <w:p w14:paraId="097DC8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经营性自建房的所有权人与使用人应当以书面形式明确双方消防安全责任，签订消防安全协议；未以书面形式明确的，所有权人统一管理公用的疏散通道、安全出口、建筑消防设施，使用人负责使用区域的消防安全。属于多产权建筑或多主体共用的，相关的所有权人、使用人应当共同确定或者委托统一管理单位或个人对消防安全实施统一管理。</w:t>
      </w:r>
    </w:p>
    <w:p w14:paraId="2896BE6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第五条 【属地责任】</w:t>
      </w:r>
      <w:r>
        <w:rPr>
          <w:rFonts w:hint="eastAsia" w:ascii="仿宋_GB2312" w:hAnsi="仿宋_GB2312" w:eastAsia="仿宋_GB2312" w:cs="仿宋_GB2312"/>
          <w:color w:val="auto"/>
          <w:sz w:val="32"/>
          <w:szCs w:val="32"/>
          <w:lang w:val="en-US" w:eastAsia="zh-CN"/>
        </w:rPr>
        <w:t>区人民政府负责本行政区域内经营性自建房消防安全管理的组织领导和综合协调，建立协调联动机制，督促落实消防安全责任制，开展经常性宣传教育，建立健全经营性自建房突发应急处置联动机制。</w:t>
      </w:r>
    </w:p>
    <w:p w14:paraId="4694F8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乡镇人民政府和街道办事处负责统筹实施经营性自建房消防安全管理工作，按照属地与层级分工，负责审批经营性自建房的规划和施工手续，依法查处未取得审批手续擅自新建、改建、加建的违法违规行为；建立经营性自建房消防安全管理员制度和网格化动态管理制度，健全隐患常态化巡查发现机制；指导村民委员会、居民委员会和属地单位开展群众性消防工作，加强消防宣传教育。</w:t>
      </w:r>
    </w:p>
    <w:p w14:paraId="1E58CC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村民委员会、居民委员会协助做好经营性自建房消防安全网格化管理、火灾隐患排查整治、应急疏散演练和消防宣传教育等工作。</w:t>
      </w:r>
    </w:p>
    <w:p w14:paraId="5518FEA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第六条【部门监管责任】</w:t>
      </w:r>
      <w:r>
        <w:rPr>
          <w:rFonts w:hint="eastAsia" w:ascii="仿宋_GB2312" w:hAnsi="仿宋_GB2312" w:eastAsia="仿宋_GB2312" w:cs="仿宋_GB2312"/>
          <w:color w:val="auto"/>
          <w:sz w:val="32"/>
          <w:szCs w:val="32"/>
          <w:lang w:val="en-US" w:eastAsia="zh-CN"/>
        </w:rPr>
        <w:t>区自然资源局按照属地与层级分工，负责审批所辖范围内经营性自建房的规划手续，将发现的未取得审批手续擅自新建、改建、加建的涉嫌违法违规行为线索移送至区城市管理和综合执法局、乡镇人民政府或街道办事处。</w:t>
      </w:r>
    </w:p>
    <w:p w14:paraId="5F1E67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yellow"/>
          <w:lang w:val="en-US" w:eastAsia="zh-CN"/>
        </w:rPr>
      </w:pPr>
      <w:r>
        <w:rPr>
          <w:rFonts w:hint="eastAsia" w:ascii="仿宋_GB2312" w:hAnsi="仿宋_GB2312" w:eastAsia="仿宋_GB2312" w:cs="仿宋_GB2312"/>
          <w:color w:val="auto"/>
          <w:sz w:val="32"/>
          <w:szCs w:val="32"/>
          <w:lang w:val="en-US" w:eastAsia="zh-CN"/>
        </w:rPr>
        <w:t>区农业农村局指导乡镇人民政府和街道办事处开展宅基地分配、使用、流转及宅基地违法用地查处、闲置农房利用等工作，及规范开展农村村民住宅翻建、改扩建的宅基地管理有关业务。按照属地与层级分工，依法查处农村村民未经批准或者采取欺骗手段骗取批准非法占用土地建住宅的违法违规行为。</w:t>
      </w:r>
    </w:p>
    <w:p w14:paraId="48322DA0">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hAnsi="仿宋_GB2312" w:eastAsia="仿宋_GB2312" w:cs="仿宋_GB2312"/>
          <w:color w:val="auto"/>
          <w:sz w:val="32"/>
          <w:szCs w:val="32"/>
          <w:lang w:val="en-US" w:eastAsia="zh-CN"/>
        </w:rPr>
        <w:t>区住房和城乡建设局</w:t>
      </w:r>
      <w:r>
        <w:rPr>
          <w:rFonts w:hint="eastAsia" w:ascii="仿宋_GB2312" w:hAnsi="仿宋_GB2312" w:eastAsia="仿宋_GB2312" w:cs="仿宋_GB2312"/>
          <w:color w:val="auto"/>
          <w:sz w:val="32"/>
          <w:szCs w:val="32"/>
          <w:lang w:val="en-US" w:eastAsia="zh-CN"/>
        </w:rPr>
        <w:t>负责组织开展经营性自建房结构安全、改造合规性检查，依法查处危害经营性自建房使用安全等违法违规行为。</w:t>
      </w:r>
    </w:p>
    <w:p w14:paraId="141C33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区应急管理局协调</w:t>
      </w:r>
      <w:r>
        <w:rPr>
          <w:rFonts w:hint="eastAsia" w:ascii="仿宋_GB2312" w:hAnsi="仿宋_GB2312" w:eastAsia="仿宋_GB2312" w:cs="仿宋_GB2312"/>
          <w:color w:val="auto"/>
          <w:sz w:val="32"/>
          <w:szCs w:val="32"/>
          <w:highlight w:val="none"/>
          <w:lang w:val="en" w:eastAsia="zh-CN"/>
        </w:rPr>
        <w:t>经营性自建房</w:t>
      </w:r>
      <w:r>
        <w:rPr>
          <w:rFonts w:hint="eastAsia" w:ascii="仿宋_GB2312" w:hAnsi="仿宋_GB2312" w:eastAsia="仿宋_GB2312" w:cs="仿宋_GB2312"/>
          <w:color w:val="auto"/>
          <w:sz w:val="32"/>
          <w:szCs w:val="32"/>
          <w:highlight w:val="none"/>
          <w:lang w:val="en-US" w:eastAsia="zh-CN"/>
        </w:rPr>
        <w:t>消防综合管理，依法查处经营性自建房违规生产、储存、经营、使用烟花爆竹、危险化学品等违法违规行为。</w:t>
      </w:r>
    </w:p>
    <w:p w14:paraId="1B1AF4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区消防救援局负责经营性自建房消防综合管理，开展消防监督检查、火灾扑救、灾害救援和火灾事故调查，依法查处消防设施、消防通道等违法违规行为，开展消防安全宣传教育。</w:t>
      </w:r>
    </w:p>
    <w:p w14:paraId="45A174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区市场监督管理局负责依法办理商事登记，依法查处无照经营违法违规的行为。</w:t>
      </w:r>
    </w:p>
    <w:p w14:paraId="1100E3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区城市管理和综合执法局负责依法查处经营性自建房违法搭建、违建改造、占用消防通道、瓶装液化石油气等违法违规行为；接收城乡规划主管部门和住房城乡建设部门移送的经营性自建房建筑类违法案件，依法实施行政处罚。</w:t>
      </w:r>
    </w:p>
    <w:p w14:paraId="3C2DF4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新会公安分局负责做好经营性自建房流动人口登记，配合消防检查并查处阻碍消防执法、消防违法治安类案件。</w:t>
      </w:r>
    </w:p>
    <w:p w14:paraId="628CA3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民族宗教、科工商务、教育、民政、人力资源社会保障、自然资源、住房城乡建设、交通运输、农业农村、文化广电旅游体育、卫生健康、应急管理、市场监督管理、城市管理综合执法、公安、生态环境分局、供电等行业主管部门，按照“谁主管、谁负责、谁审批、谁监管”原则，落实宗教活动、宾馆酒店、商市场、再生资源回收场所、文化娱乐场所、体育经营场所、民宿、培训机构、幼儿园、校外托管机构、医疗机构、养老场所、托育机构、生产企业，加工作坊、仓储、涉农加工作坊等行业经营性自建房行业消防监管职责。对新产业新业态，按照领域归口、业务相近原则和具体特点，由县级以上地方政府及时分析研判，明确监管职责。  </w:t>
      </w:r>
    </w:p>
    <w:p w14:paraId="4404567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rPr>
        <w:t>第三章 消防安全</w:t>
      </w:r>
      <w:r>
        <w:rPr>
          <w:rFonts w:hint="eastAsia" w:ascii="黑体" w:hAnsi="黑体" w:eastAsia="黑体" w:cs="黑体"/>
          <w:color w:val="auto"/>
          <w:sz w:val="32"/>
          <w:szCs w:val="32"/>
          <w:lang w:val="en-US" w:eastAsia="zh-CN"/>
        </w:rPr>
        <w:t>管理</w:t>
      </w:r>
    </w:p>
    <w:p w14:paraId="67DD88A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第七条【建设要求】</w:t>
      </w:r>
      <w:r>
        <w:rPr>
          <w:rFonts w:hint="eastAsia" w:ascii="仿宋_GB2312" w:hAnsi="仿宋_GB2312" w:eastAsia="仿宋_GB2312" w:cs="仿宋_GB2312"/>
          <w:color w:val="auto"/>
          <w:sz w:val="32"/>
          <w:szCs w:val="32"/>
          <w:lang w:val="en-US" w:eastAsia="zh-CN"/>
        </w:rPr>
        <w:t>经营性自建房在新建、改建以及扩建时应取得相应的规划或者建设手续。</w:t>
      </w:r>
    </w:p>
    <w:p w14:paraId="0A1492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在改建以及装修中不得擅自变动房屋建筑主体和承重结构，不得降低标准施工，不得违规加建。</w:t>
      </w:r>
    </w:p>
    <w:p w14:paraId="2CFE64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耐火等级、防火分区、防火分隔、平面布置、防火间距、消防设施等应符合 GB 50016的相关规定并保持完好。</w:t>
      </w:r>
    </w:p>
    <w:p w14:paraId="7534FE4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第八条【疏散设施管理】</w:t>
      </w:r>
      <w:r>
        <w:rPr>
          <w:rFonts w:hint="eastAsia" w:ascii="仿宋_GB2312" w:hAnsi="仿宋_GB2312" w:eastAsia="仿宋_GB2312" w:cs="仿宋_GB2312"/>
          <w:color w:val="auto"/>
          <w:sz w:val="32"/>
          <w:szCs w:val="32"/>
          <w:lang w:val="en-US" w:eastAsia="zh-CN"/>
        </w:rPr>
        <w:t>疏散门应向疏散方向开启；保障消防车通道、疏散通道和安全出口畅通，禁止占用、堵塞、封闭；按照GB 13495.1设置疏散指示标志和应急照明，并保持完好有效。禁止电动自行车在建筑内、疏散通道、楼梯间停放、充电；外墙、门窗不应设置影响逃生和救援的障碍物，确需设置时，每个房间至少设1个净高度和净宽度均不应小于1.0m的消防救援口。</w:t>
      </w:r>
    </w:p>
    <w:p w14:paraId="509C098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第九条【消防设施管理】</w:t>
      </w:r>
      <w:r>
        <w:rPr>
          <w:rFonts w:hint="eastAsia" w:ascii="仿宋_GB2312" w:hAnsi="仿宋_GB2312" w:eastAsia="仿宋_GB2312" w:cs="仿宋_GB2312"/>
          <w:color w:val="auto"/>
          <w:sz w:val="32"/>
          <w:szCs w:val="32"/>
          <w:lang w:val="en-US" w:eastAsia="zh-CN"/>
        </w:rPr>
        <w:t>按照GB 50140配置灭火器，放置醒目、便于取用；人员密集场所应设置联网式独立感烟报警器；生产或经营区域宜设置简易自动喷水装置；消防水源、消火栓、消防软管卷盘符合GB 50974要求。不得损坏、挪用、停用、拆除、圈占、遮挡消防设施和消防器材，并应定期维护、检测，确保完好有效。</w:t>
      </w:r>
    </w:p>
    <w:p w14:paraId="140019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消防产品必须符合国家标准；没有国家标准的，必须符合行业标准。禁止使用不合格的消防产品以及国家明令淘汰的消防产品。</w:t>
      </w:r>
    </w:p>
    <w:p w14:paraId="1D93E2B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第十条【电气安全管理】</w:t>
      </w:r>
      <w:r>
        <w:rPr>
          <w:rFonts w:hint="eastAsia" w:ascii="仿宋_GB2312" w:hAnsi="仿宋_GB2312" w:eastAsia="仿宋_GB2312" w:cs="仿宋_GB2312"/>
          <w:color w:val="auto"/>
          <w:sz w:val="32"/>
          <w:szCs w:val="32"/>
          <w:lang w:val="en-US" w:eastAsia="zh-CN"/>
        </w:rPr>
        <w:t>电气线路应穿金属管或阻燃 PVC 套管保护，安装短路、过载、漏电保护装置；禁止私拉乱接、超负荷用电、使用不合格电器产品，电气设备与可燃物间距不应小于0.5m；定期检查电气线路、设备，及时更换老化线路。</w:t>
      </w:r>
    </w:p>
    <w:p w14:paraId="7059AB1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第十一条【火源管理】</w:t>
      </w:r>
      <w:r>
        <w:rPr>
          <w:rFonts w:hint="eastAsia" w:ascii="仿宋_GB2312" w:hAnsi="仿宋_GB2312" w:eastAsia="仿宋_GB2312" w:cs="仿宋_GB2312"/>
          <w:color w:val="auto"/>
          <w:sz w:val="32"/>
          <w:szCs w:val="32"/>
          <w:lang w:val="en-US" w:eastAsia="zh-CN"/>
        </w:rPr>
        <w:t>明火厨房应采用耐火极限不低于2h的防火隔墙、乙级防火门或防火窗和不低于1h的楼板与其他区域进行分隔。</w:t>
      </w:r>
    </w:p>
    <w:p w14:paraId="391076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高层建筑严禁使用瓶装液化石油气，应采用管道供气；单、多层建筑使用瓶装液化石油气时，应使用不超过2个15kg气瓶。使用管道供气时，充装量不小于50kg的液化石油气容器应设置在所服务建筑外的单层专用房间内，并应采用防火墙分隔。钢瓶与灶具间距不应小于0.5m，应避免受到日光直射或火源、热源的直接辐射作用；燃气使用区域应安装可燃气体探测器和紧急切断阀，灶具应具备自动熄火保护功能；燃气软管长度不应超过2.0m，无接头、不穿墙、不穿窗、不穿顶棚、不穿地面，严禁三通分流，每年应至少更换1次定期更换软管。</w:t>
      </w:r>
    </w:p>
    <w:p w14:paraId="0BA003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使用柴火、炭火时，其储存处与火源间距不小于1m，用火完毕确认熄灭后方可离开；使用卡式燃具前应检查炉具和气罐的气密性，使用中不倾斜、不倒置，选用匹配锅具且不超出气瓶仓，不在强风、烈日、高温、密闭环境中使用，并远离热源及可燃物；禁止使用明火照明、取暖；蚊香、蜡烛、长明灯等火源应放置在不燃器皿内并配备难燃或不燃罩具，与可燃物间距不小于0.5m，不得直接放置在纸箱、塑料、木板等可燃物品上，离开时将所有明火全部熄灭。</w:t>
      </w:r>
    </w:p>
    <w:p w14:paraId="3D89234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第十二条【装修防火管理】</w:t>
      </w:r>
      <w:r>
        <w:rPr>
          <w:rFonts w:hint="eastAsia" w:ascii="仿宋_GB2312" w:hAnsi="仿宋_GB2312" w:eastAsia="仿宋_GB2312" w:cs="仿宋_GB2312"/>
          <w:color w:val="auto"/>
          <w:sz w:val="32"/>
          <w:szCs w:val="32"/>
          <w:lang w:val="en-US" w:eastAsia="zh-CN"/>
        </w:rPr>
        <w:t>按照GB50222使用装修、装饰材料，不得采用易燃、可燃材料；装修不应擅自减少、改动、拆除、遮挡消防设施、疏散指示标志、安全出口、疏散走道和防火分区、防烟分区等。</w:t>
      </w:r>
    </w:p>
    <w:p w14:paraId="02569B7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第十三条【易燃易爆危险品以及烟花爆竹管理】</w:t>
      </w:r>
      <w:r>
        <w:rPr>
          <w:rFonts w:hint="eastAsia" w:ascii="仿宋_GB2312" w:hAnsi="仿宋_GB2312" w:eastAsia="仿宋_GB2312" w:cs="仿宋_GB2312"/>
          <w:color w:val="auto"/>
          <w:sz w:val="32"/>
          <w:szCs w:val="32"/>
          <w:lang w:val="en-US" w:eastAsia="zh-CN"/>
        </w:rPr>
        <w:t>不得违反有关消防技术标准和管理规定生产、储存、销售、使用、销毁易燃易爆危险品。易燃易爆危险品应单独存放并由专人管理，应使用耐火极限不低于2h的防火隔墙、乙级防火门和不低于1h的楼板与其他区域进行分隔，存储不超过1天的用量。不得携带易燃易爆危险品进入公共场所。</w:t>
      </w:r>
    </w:p>
    <w:p w14:paraId="6B498D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生产、储存、经营易燃易爆危险品的场所不得与居住场所设置在同一建筑物内。</w:t>
      </w:r>
    </w:p>
    <w:p w14:paraId="63A265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不得违反消防安全规定进入生产、储存易燃易爆危险品场所的，违反规定使用明火作业或者在具有火灾、爆炸危险的场所吸烟、使用明火的。</w:t>
      </w:r>
    </w:p>
    <w:p w14:paraId="6C1581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使用经营性自建房从事烟花爆竹批发的企业和零售经营者的经营布点，应当经区应急管理局审批。禁止在人员密集的经营性自建房内燃放烟花爆竹。</w:t>
      </w:r>
    </w:p>
    <w:p w14:paraId="42D2E97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第十四条【住宿与生产储存经营合用场所管理】</w:t>
      </w:r>
      <w:r>
        <w:rPr>
          <w:rFonts w:hint="eastAsia" w:ascii="仿宋_GB2312" w:hAnsi="仿宋_GB2312" w:eastAsia="仿宋_GB2312" w:cs="仿宋_GB2312"/>
          <w:color w:val="auto"/>
          <w:sz w:val="32"/>
          <w:szCs w:val="32"/>
          <w:lang w:val="en-US" w:eastAsia="zh-CN"/>
        </w:rPr>
        <w:t>以下场所严禁住人：①有甲乙类火灾危险性生产储存经营的建</w:t>
      </w:r>
      <w:r>
        <w:rPr>
          <w:rFonts w:hint="default" w:ascii="仿宋_GB2312" w:hAnsi="仿宋_GB2312" w:eastAsia="仿宋_GB2312" w:cs="仿宋_GB2312"/>
          <w:color w:val="auto"/>
          <w:sz w:val="32"/>
          <w:szCs w:val="32"/>
          <w:lang w:val="en-US" w:eastAsia="zh-CN"/>
        </w:rPr>
        <w:t>筑、建筑耐火等级为三级及三级以下的建筑、厂房和仓库、建筑面积大于2500㎡的商场市场等公共建筑、地下建筑严禁设置含有住宿功能的合用场所。②未采用耐火极限不低于2h的实体墙和耐火极限不低于1.5h的楼板落实防火分隔，并实现独立疏散的下列场所严禁住人：设有经营零售民用小包装的危险化学品商店、生产经营业态需使用电气焊（割）等动火作业的场所、提供电动自行车销售维修和停放充电服务的场所、餐饮场所。③临街商业用房等搭建的阁楼。</w:t>
      </w:r>
    </w:p>
    <w:p w14:paraId="0F5BC0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如确需留守值班的，值班人员不超过4人的应满足以下条件：①住宿部位与生产经营部位间采用耐火极限不低于2h的实体墙和耐火极限不低于1.5h的楼板，以及乙级（A1.0）以上防火门落实防火分隔。②生产储存经营部位及其疏散楼梯、疏散走道等公共区域防盗网（铁栅栏）应全部拆除，住宿部位防盗网（铁栅栏）应开设高度不小于1米、宽度不小于0.8米且从内部易于开启的紧急逃生口。③电气线路套管防护，规范安装全电流、全电量空气保护开关。④按照住宿人数不低于1:1比例配备过滤式消防自救呼吸器，统一放置于各住宿房间显眼位置。⑤应在生产储存经营部位安装联网式独立火灾探测报警器，并在住宿部分设置与火灾探测报警器联动的电铃或声光报警器，确保预警声响覆盖所有房间。</w:t>
      </w:r>
    </w:p>
    <w:p w14:paraId="672646A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第十五条【开业前消防安全检查】</w:t>
      </w:r>
      <w:r>
        <w:rPr>
          <w:rFonts w:hint="eastAsia" w:ascii="仿宋_GB2312" w:hAnsi="仿宋_GB2312" w:eastAsia="仿宋_GB2312" w:cs="仿宋_GB2312"/>
          <w:color w:val="auto"/>
          <w:sz w:val="32"/>
          <w:szCs w:val="32"/>
          <w:lang w:val="en-US" w:eastAsia="zh-CN"/>
        </w:rPr>
        <w:t>公众聚集场所投入使用、营业前应办理消防安全检查。未经消防救援机构许可的，不得投入使用、营业。</w:t>
      </w:r>
    </w:p>
    <w:p w14:paraId="0F60404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四</w:t>
      </w:r>
      <w:r>
        <w:rPr>
          <w:rFonts w:hint="eastAsia" w:ascii="黑体" w:hAnsi="黑体" w:eastAsia="黑体" w:cs="黑体"/>
          <w:color w:val="auto"/>
          <w:sz w:val="32"/>
          <w:szCs w:val="32"/>
        </w:rPr>
        <w:t xml:space="preserve">章 </w:t>
      </w:r>
      <w:r>
        <w:rPr>
          <w:rFonts w:hint="eastAsia" w:ascii="黑体" w:hAnsi="黑体" w:eastAsia="黑体" w:cs="黑体"/>
          <w:color w:val="auto"/>
          <w:sz w:val="32"/>
          <w:szCs w:val="32"/>
          <w:lang w:val="en-US" w:eastAsia="zh-CN"/>
        </w:rPr>
        <w:t>监督检查管理</w:t>
      </w:r>
    </w:p>
    <w:p w14:paraId="62839F6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第十六条【主体自查整改】</w:t>
      </w:r>
      <w:r>
        <w:rPr>
          <w:rFonts w:hint="eastAsia" w:ascii="仿宋_GB2312" w:hAnsi="仿宋_GB2312" w:eastAsia="仿宋_GB2312" w:cs="仿宋_GB2312"/>
          <w:color w:val="auto"/>
          <w:sz w:val="32"/>
          <w:szCs w:val="32"/>
          <w:lang w:val="en-US" w:eastAsia="zh-CN"/>
        </w:rPr>
        <w:t>经营性自建房产权人应加强房屋日常管理，定期开展消防安全自查，及时消除火灾隐患，不得将存在火灾隐患的自建房用作经营用途。</w:t>
      </w:r>
      <w:r>
        <w:rPr>
          <w:rFonts w:hint="eastAsia" w:ascii="仿宋_GB2312" w:hAnsi="仿宋_GB2312" w:eastAsia="仿宋_GB2312" w:cs="仿宋_GB2312"/>
          <w:color w:val="auto"/>
          <w:sz w:val="32"/>
          <w:szCs w:val="32"/>
          <w:lang w:val="en-US" w:eastAsia="zh-CN"/>
        </w:rPr>
        <w:br w:type="textWrapping"/>
      </w:r>
      <w:r>
        <w:rPr>
          <w:rFonts w:hint="eastAsia" w:ascii="仿宋_GB2312" w:hAnsi="仿宋_GB2312" w:eastAsia="仿宋_GB2312" w:cs="仿宋_GB2312"/>
          <w:color w:val="auto"/>
          <w:sz w:val="32"/>
          <w:szCs w:val="32"/>
          <w:lang w:val="en-US" w:eastAsia="zh-CN"/>
        </w:rPr>
        <w:t xml:space="preserve">   经营性自建房使用人应当履行下列消防安全职责：落实消防安全责任制，制定本单位的消防安全制度、消防安全操作规程，制定灭火和应急疏散预案；按照国家标准、行业标准配置消防设施、器材，设置消防安全标志，并定期组织检验、维修，确保完好有效；保障疏散通道、安全出口、消防车通道畅通，保证防火防烟分区、防火间距符合消防技术标准，在出入口、疏散通道等醒目位置设置火灾警示、逃生路线、设施使用标识；每月组织防火检查，及时消除火灾隐患；每年组织进行有针对性的消防演练。检查内容包括：制度落实、操作规程执行情况；有无违规分割、搭建、改变使用性质；消防设施运行、维护保养情况；防火分隔、竖井封堵情况；电气线路、设备运行情况；厨房烟道清洗、燃气管道检测情况；隐患整改、防范措施落实情况。</w:t>
      </w:r>
      <w:r>
        <w:rPr>
          <w:rFonts w:hint="eastAsia" w:ascii="仿宋_GB2312" w:hAnsi="仿宋_GB2312" w:eastAsia="仿宋_GB2312" w:cs="仿宋_GB2312"/>
          <w:color w:val="auto"/>
          <w:sz w:val="32"/>
          <w:szCs w:val="32"/>
          <w:lang w:val="en-US" w:eastAsia="zh-CN"/>
        </w:rPr>
        <w:br w:type="textWrapping"/>
      </w:r>
      <w:r>
        <w:rPr>
          <w:rFonts w:hint="eastAsia" w:ascii="仿宋_GB2312" w:hAnsi="仿宋_GB2312" w:eastAsia="仿宋_GB2312" w:cs="仿宋_GB2312"/>
          <w:color w:val="auto"/>
          <w:sz w:val="32"/>
          <w:szCs w:val="32"/>
          <w:lang w:val="en-US" w:eastAsia="zh-CN"/>
        </w:rPr>
        <w:t xml:space="preserve">   对排查发现的火灾隐患，应立即当场整改；对无法当场整改的火灾隐患，需明确隐患整改责任人、整改时限及具体整改措施，建立隐患整改台账，实行闭环管理。在隐患未彻底消除前，应采取增加防火巡查频次、安排专人现场看护、增配符合标准的消防设施器材、临时停用存在安全风险的部位等针对性防范措施。</w:t>
      </w:r>
      <w:r>
        <w:rPr>
          <w:rFonts w:hint="eastAsia" w:ascii="仿宋_GB2312" w:hAnsi="仿宋_GB2312" w:eastAsia="仿宋_GB2312" w:cs="仿宋_GB2312"/>
          <w:color w:val="auto"/>
          <w:sz w:val="32"/>
          <w:szCs w:val="32"/>
          <w:lang w:val="en-US" w:eastAsia="zh-CN"/>
        </w:rPr>
        <w:br w:type="textWrapping"/>
      </w:r>
      <w:r>
        <w:rPr>
          <w:rFonts w:hint="eastAsia" w:ascii="仿宋_GB2312" w:hAnsi="仿宋_GB2312" w:eastAsia="仿宋_GB2312" w:cs="仿宋_GB2312"/>
          <w:color w:val="auto"/>
          <w:sz w:val="32"/>
          <w:szCs w:val="32"/>
          <w:lang w:val="en-US" w:eastAsia="zh-CN"/>
        </w:rPr>
        <w:t xml:space="preserve">   </w:t>
      </w:r>
      <w:r>
        <w:rPr>
          <w:rFonts w:hint="eastAsia" w:ascii="楷体_GB2312" w:hAnsi="楷体_GB2312" w:eastAsia="楷体_GB2312" w:cs="楷体_GB2312"/>
          <w:b/>
          <w:bCs/>
          <w:color w:val="auto"/>
          <w:sz w:val="32"/>
          <w:szCs w:val="32"/>
          <w:lang w:val="en-US" w:eastAsia="zh-CN"/>
        </w:rPr>
        <w:t xml:space="preserve"> 第十七条【属地行业监管】</w:t>
      </w:r>
      <w:r>
        <w:rPr>
          <w:rFonts w:hint="eastAsia" w:ascii="仿宋_GB2312" w:hAnsi="仿宋_GB2312" w:eastAsia="仿宋_GB2312" w:cs="仿宋_GB2312"/>
          <w:color w:val="auto"/>
          <w:sz w:val="32"/>
          <w:szCs w:val="32"/>
          <w:lang w:val="en-US" w:eastAsia="zh-CN"/>
        </w:rPr>
        <w:t>乡镇人民政府、街道办事处以及相关行业部门开展火灾隐患常态化巡查，发现隐患时应当场告知立即整改；无法立即整改的应限期整改，整改完成后组织复查，并跟踪督促整改情况；发现重大火灾隐患的，应函告区消防救援局。涉嫌违法的，根据相关法律法规规定，及时调查处理或者，或者移送有关部门依法查处。各相关部门应加强信息共享与执法联动，形成监管合力，确保火灾隐患整改到位。</w:t>
      </w:r>
    </w:p>
    <w:p w14:paraId="379956C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建立健全消防安全信用体系，对屡次违规、整改不力的单位和个人实施联合惩戒。</w:t>
      </w:r>
    </w:p>
    <w:p w14:paraId="7CF7850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第十八条【智慧消防与保险保障】</w:t>
      </w:r>
      <w:r>
        <w:rPr>
          <w:rFonts w:hint="eastAsia" w:ascii="仿宋_GB2312" w:hAnsi="仿宋_GB2312" w:eastAsia="仿宋_GB2312" w:cs="仿宋_GB2312"/>
          <w:color w:val="auto"/>
          <w:sz w:val="32"/>
          <w:szCs w:val="32"/>
          <w:lang w:val="en-US" w:eastAsia="zh-CN"/>
        </w:rPr>
        <w:t>鼓励经营性自建房采用物联网等现代化和智能化手段开展火灾自动报警、火灾扑救及其他消防安全管理工作。</w:t>
      </w:r>
    </w:p>
    <w:p w14:paraId="38E91D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鼓励、引导经营性自建房投保火灾公众责任险或者家庭财产险；鼓励保险公司承保火灾公众责任险和家庭财产险。</w:t>
      </w:r>
    </w:p>
    <w:p w14:paraId="57FEA34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第十九条【微型消防力量建设】</w:t>
      </w:r>
      <w:r>
        <w:rPr>
          <w:rFonts w:hint="eastAsia" w:ascii="仿宋_GB2312" w:hAnsi="仿宋_GB2312" w:eastAsia="仿宋_GB2312" w:cs="仿宋_GB2312"/>
          <w:color w:val="auto"/>
          <w:sz w:val="32"/>
          <w:szCs w:val="32"/>
          <w:lang w:val="en-US" w:eastAsia="zh-CN"/>
        </w:rPr>
        <w:t>对住宿 30人以上的经营性自建房场所，可以结合实际，建立微型消防站或志愿消防队，建立健全值班值守、多户联防、消防培训演练等工作机制，健全经营性自建房消防安全防控体系，提高初期火灾扑救能力。</w:t>
      </w:r>
    </w:p>
    <w:p w14:paraId="70885E8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五</w:t>
      </w:r>
      <w:r>
        <w:rPr>
          <w:rFonts w:hint="eastAsia" w:ascii="黑体" w:hAnsi="黑体" w:eastAsia="黑体" w:cs="黑体"/>
          <w:color w:val="auto"/>
          <w:sz w:val="32"/>
          <w:szCs w:val="32"/>
        </w:rPr>
        <w:t xml:space="preserve">章 </w:t>
      </w:r>
      <w:r>
        <w:rPr>
          <w:rFonts w:hint="eastAsia" w:ascii="黑体" w:hAnsi="黑体" w:eastAsia="黑体" w:cs="黑体"/>
          <w:color w:val="auto"/>
          <w:sz w:val="32"/>
          <w:szCs w:val="32"/>
          <w:lang w:val="en-US" w:eastAsia="zh-CN"/>
        </w:rPr>
        <w:t>法律责任</w:t>
      </w:r>
    </w:p>
    <w:p w14:paraId="0C7F260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第二十条【监管人员责任】</w:t>
      </w:r>
      <w:r>
        <w:rPr>
          <w:rFonts w:hint="eastAsia" w:ascii="仿宋_GB2312" w:hAnsi="仿宋_GB2312" w:eastAsia="仿宋_GB2312" w:cs="仿宋_GB2312"/>
          <w:color w:val="auto"/>
          <w:sz w:val="32"/>
          <w:szCs w:val="32"/>
          <w:lang w:val="en-US" w:eastAsia="zh-CN"/>
        </w:rPr>
        <w:t>乡镇人民政府、街道办事处以及相关行业部门的检查人员违反本办法，在经营性自建房消防安全工作中存在滥用职权、玩忽职守、徇私舞弊的，依法依规给予处分；涉嫌犯罪的，依法追究刑事责任。</w:t>
      </w:r>
    </w:p>
    <w:p w14:paraId="1AD97A2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第二十一条【法律责任】</w:t>
      </w:r>
      <w:r>
        <w:rPr>
          <w:rFonts w:hint="eastAsia" w:ascii="仿宋_GB2312" w:hAnsi="仿宋_GB2312" w:eastAsia="仿宋_GB2312" w:cs="仿宋_GB2312"/>
          <w:color w:val="auto"/>
          <w:sz w:val="32"/>
          <w:szCs w:val="32"/>
          <w:highlight w:val="none"/>
          <w:lang w:val="en-US" w:eastAsia="zh-CN"/>
        </w:rPr>
        <w:t>违反本办法第七条第一款规定，</w:t>
      </w:r>
      <w:r>
        <w:rPr>
          <w:rFonts w:hint="default" w:ascii="仿宋_GB2312" w:hAnsi="仿宋_GB2312" w:eastAsia="仿宋_GB2312" w:cs="仿宋_GB2312"/>
          <w:color w:val="auto"/>
          <w:sz w:val="32"/>
          <w:szCs w:val="32"/>
          <w:highlight w:val="none"/>
          <w:lang w:val="en-US" w:eastAsia="zh-CN"/>
        </w:rPr>
        <w:t>未取得建设工程规划许可证或者未按照建设工程规划许可证的规定进行建设的，</w:t>
      </w:r>
      <w:r>
        <w:rPr>
          <w:rFonts w:hint="eastAsia" w:ascii="仿宋_GB2312" w:hAnsi="仿宋_GB2312" w:eastAsia="仿宋_GB2312" w:cs="仿宋_GB2312"/>
          <w:color w:val="auto"/>
          <w:sz w:val="32"/>
          <w:szCs w:val="32"/>
          <w:highlight w:val="none"/>
          <w:lang w:val="en-US" w:eastAsia="zh-CN"/>
        </w:rPr>
        <w:t>按照属地与层级分工，由乡镇人民政府和街道办事处或者由区自然资源局移交区城市管理和综合执法局，责令停止建设；尚可采取改正措施消除对规划实施的影响的，限期改正，处建设工程造价百分之五以上百分之十以下的罚款；无法采取改正措施消除影响的，限期拆除，不能拆除的，没收实物或者违法收入，可以并处建设工程造价百分之十以下的罚款。</w:t>
      </w:r>
    </w:p>
    <w:p w14:paraId="10FEB03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违反本办法第七条第一款规定，</w:t>
      </w:r>
      <w:r>
        <w:rPr>
          <w:rFonts w:hint="default" w:ascii="仿宋_GB2312" w:hAnsi="仿宋_GB2312" w:eastAsia="仿宋_GB2312" w:cs="仿宋_GB2312"/>
          <w:color w:val="auto"/>
          <w:sz w:val="32"/>
          <w:szCs w:val="32"/>
          <w:highlight w:val="none"/>
          <w:lang w:val="en-US" w:eastAsia="zh-CN"/>
        </w:rPr>
        <w:t>在乡、村庄规划区内未依法取得乡村建设规划许可证或者未按照乡村建设规划许可证的规定进行建设的，由</w:t>
      </w:r>
      <w:r>
        <w:rPr>
          <w:rFonts w:hint="eastAsia" w:ascii="仿宋_GB2312" w:hAnsi="仿宋_GB2312" w:eastAsia="仿宋_GB2312" w:cs="仿宋_GB2312"/>
          <w:color w:val="auto"/>
          <w:sz w:val="32"/>
          <w:szCs w:val="32"/>
          <w:highlight w:val="none"/>
          <w:lang w:val="en-US" w:eastAsia="zh-CN"/>
        </w:rPr>
        <w:t>乡镇人民政府和街道办事处</w:t>
      </w:r>
      <w:r>
        <w:rPr>
          <w:rFonts w:hint="default" w:ascii="仿宋_GB2312" w:hAnsi="仿宋_GB2312" w:eastAsia="仿宋_GB2312" w:cs="仿宋_GB2312"/>
          <w:color w:val="auto"/>
          <w:sz w:val="32"/>
          <w:szCs w:val="32"/>
          <w:highlight w:val="none"/>
          <w:lang w:val="en-US" w:eastAsia="zh-CN"/>
        </w:rPr>
        <w:t>责令停止建设、限期改正；逾期不改正的，可以拆除。</w:t>
      </w:r>
    </w:p>
    <w:p w14:paraId="69AE57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highlight w:val="yellow"/>
          <w:lang w:val="en-US" w:eastAsia="zh-CN"/>
        </w:rPr>
      </w:pPr>
      <w:r>
        <w:rPr>
          <w:rFonts w:hint="eastAsia" w:ascii="仿宋_GB2312" w:hAnsi="仿宋_GB2312" w:eastAsia="仿宋_GB2312" w:cs="仿宋_GB2312"/>
          <w:color w:val="auto"/>
          <w:sz w:val="32"/>
          <w:szCs w:val="32"/>
          <w:highlight w:val="none"/>
          <w:lang w:val="en-US" w:eastAsia="zh-CN"/>
        </w:rPr>
        <w:t>违反本办法第七条第一款规定，</w:t>
      </w:r>
      <w:r>
        <w:rPr>
          <w:rFonts w:hint="default" w:ascii="仿宋_GB2312" w:hAnsi="仿宋_GB2312" w:eastAsia="仿宋_GB2312" w:cs="仿宋_GB2312"/>
          <w:color w:val="auto"/>
          <w:sz w:val="32"/>
          <w:szCs w:val="32"/>
          <w:highlight w:val="none"/>
          <w:lang w:val="en-US" w:eastAsia="zh-CN"/>
        </w:rPr>
        <w:t>农村村民未经批准或者采取欺骗手段骗取批准，非法占用土地建住宅的，由区农业农村局或乡镇人民政府和街道办事处责令退还非法占用的土地，限期拆除在非法占用的土地上新建的房屋。</w:t>
      </w:r>
    </w:p>
    <w:p w14:paraId="2D03997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第二十二条【法律责任】</w:t>
      </w:r>
      <w:r>
        <w:rPr>
          <w:rFonts w:hint="eastAsia" w:ascii="仿宋_GB2312" w:hAnsi="仿宋_GB2312" w:eastAsia="仿宋_GB2312" w:cs="仿宋_GB2312"/>
          <w:color w:val="auto"/>
          <w:sz w:val="32"/>
          <w:szCs w:val="32"/>
          <w:lang w:val="en-US" w:eastAsia="zh-CN"/>
        </w:rPr>
        <w:t>违反本办法第七条第二款规定，房屋改建降低标准施工的，由区住房和城乡建设局责令改正，违法行为移交区城市管理和综合执法局责令停止施工并处一万元以上十万元以下的罚款；对擅自变动房屋建筑主体和承重结构的，由区住房城乡建设局责令改正，违法行为移交区城市管理和综合执法局处五万元以上十万元以下的罚款。</w:t>
      </w:r>
    </w:p>
    <w:p w14:paraId="042BA5F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第二十三条【法律责任】</w:t>
      </w:r>
      <w:r>
        <w:rPr>
          <w:rFonts w:hint="eastAsia" w:ascii="仿宋_GB2312" w:hAnsi="仿宋_GB2312" w:eastAsia="仿宋_GB2312" w:cs="仿宋_GB2312"/>
          <w:color w:val="auto"/>
          <w:sz w:val="32"/>
          <w:szCs w:val="32"/>
          <w:lang w:val="en-US" w:eastAsia="zh-CN"/>
        </w:rPr>
        <w:t>违反本办法第七条第三款、第八条、第九条第一款规定，由区消防救援局责令改正，对单位处五千元以上五万元以下罚款，对个人处警告或者五百元以下罚款。</w:t>
      </w:r>
    </w:p>
    <w:p w14:paraId="6BCEFF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人员密集场所违反本办法第九条第二款规定使用不合格的消防产品或者国家明令淘汰的消防产品的，由区消防救援局责令限期改正；逾期不改正的，处五千元以上五万元以下罚款，并对其直接负责的主管人员和其他直接责任人员处五百元以上二千元以下罚款；情节严重的，责令停产停业。区消防救援局应当将发现不合格的消防产品和国家明令淘汰的消防产品的情况通报</w:t>
      </w:r>
      <w:r>
        <w:rPr>
          <w:rFonts w:hint="eastAsia" w:ascii="仿宋_GB2312" w:hAnsi="仿宋_GB2312" w:eastAsia="仿宋_GB2312" w:cs="仿宋_GB2312"/>
          <w:color w:val="auto"/>
          <w:sz w:val="32"/>
          <w:szCs w:val="32"/>
          <w:highlight w:val="none"/>
          <w:lang w:val="en-US" w:eastAsia="zh-CN"/>
        </w:rPr>
        <w:t>区市场监督管理局。区市场监督管理局</w:t>
      </w:r>
      <w:r>
        <w:rPr>
          <w:rFonts w:hint="eastAsia" w:ascii="仿宋_GB2312" w:hAnsi="仿宋_GB2312" w:eastAsia="仿宋_GB2312" w:cs="仿宋_GB2312"/>
          <w:color w:val="auto"/>
          <w:sz w:val="32"/>
          <w:szCs w:val="32"/>
          <w:lang w:val="en-US" w:eastAsia="zh-CN"/>
        </w:rPr>
        <w:t>应当对生产者、销售者依法及时查处。</w:t>
      </w:r>
      <w:r>
        <w:rPr>
          <w:rFonts w:hint="eastAsia" w:ascii="仿宋_GB2312" w:hAnsi="仿宋_GB2312" w:eastAsia="仿宋_GB2312" w:cs="仿宋_GB2312"/>
          <w:color w:val="auto"/>
          <w:sz w:val="32"/>
          <w:szCs w:val="32"/>
          <w:lang w:val="en-US" w:eastAsia="zh-CN"/>
        </w:rPr>
        <w:br w:type="textWrapping"/>
      </w:r>
      <w:r>
        <w:rPr>
          <w:rFonts w:hint="eastAsia" w:ascii="仿宋_GB2312" w:hAnsi="仿宋_GB2312" w:eastAsia="仿宋_GB2312" w:cs="仿宋_GB2312"/>
          <w:color w:val="auto"/>
          <w:sz w:val="32"/>
          <w:szCs w:val="32"/>
          <w:lang w:val="en-US" w:eastAsia="zh-CN"/>
        </w:rPr>
        <w:t xml:space="preserve">   违反本办法第十条、第十一条第一款和第二款、第十二条和第十三条第二款的规定，由区消防救援局责令限期改正；逾期不改正的，责令停止使用，一千元以上五千元以下罚款。</w:t>
      </w:r>
    </w:p>
    <w:p w14:paraId="3F8707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违反本办法第十三条第二款和第十四条规定，由区消防救援局责令停产停业，并处五千元以上五万元以下罚款。</w:t>
      </w:r>
    </w:p>
    <w:p w14:paraId="58924D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违反本办法第十五条规定，由区消防救援局责令停产停业，并处三万元以上三十万元以下罚款。</w:t>
      </w:r>
    </w:p>
    <w:p w14:paraId="738DE4E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第二十四条【法律责任】</w:t>
      </w:r>
      <w:r>
        <w:rPr>
          <w:rFonts w:hint="eastAsia" w:ascii="仿宋_GB2312" w:hAnsi="仿宋_GB2312" w:eastAsia="仿宋_GB2312" w:cs="仿宋_GB2312"/>
          <w:color w:val="auto"/>
          <w:sz w:val="32"/>
          <w:szCs w:val="32"/>
          <w:lang w:val="en-US" w:eastAsia="zh-CN"/>
        </w:rPr>
        <w:t>违反本办法第八条规定，擅自设置大型户外广告影响逃生和救援，擅自在街道两侧和公共场地堆放物料，搭建建筑物、构筑物或者其他设施，影响市容的，由区城市管理和综合执法局责令其停止违法行为，限期清理、拆除或者采取其他补救措施，并可处以罚款。</w:t>
      </w:r>
    </w:p>
    <w:p w14:paraId="43D629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违反本办法第十一条第二款规定，安装使用不符合气源要求的燃烧器具、擅自安装改装拆除户内燃气设施及计量装置、在不具备安全条件的场所使用储存燃气的，由区城市管理和综合执法局责令限期改正；逾期不改正的，对单位可处十万元以下罚款，对个人可处一千元以下罚款。</w:t>
      </w:r>
    </w:p>
    <w:p w14:paraId="6D6D0B5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hAnsi="仿宋_GB2312" w:eastAsia="仿宋_GB2312" w:cs="仿宋_GB2312"/>
          <w:color w:val="auto"/>
          <w:sz w:val="32"/>
          <w:szCs w:val="32"/>
          <w:highlight w:val="none"/>
          <w:lang w:val="en" w:eastAsia="zh-CN"/>
        </w:rPr>
      </w:pPr>
      <w:r>
        <w:rPr>
          <w:rFonts w:hint="eastAsia" w:ascii="楷体_GB2312" w:hAnsi="楷体_GB2312" w:eastAsia="楷体_GB2312" w:cs="楷体_GB2312"/>
          <w:b/>
          <w:bCs/>
          <w:color w:val="auto"/>
          <w:sz w:val="32"/>
          <w:szCs w:val="32"/>
          <w:lang w:val="en-US" w:eastAsia="zh-CN"/>
        </w:rPr>
        <w:t>第二十五条【法律责任】</w:t>
      </w:r>
      <w:r>
        <w:rPr>
          <w:rFonts w:hint="eastAsia" w:ascii="仿宋_GB2312" w:hAnsi="仿宋_GB2312" w:eastAsia="仿宋_GB2312" w:cs="仿宋_GB2312"/>
          <w:color w:val="auto"/>
          <w:sz w:val="32"/>
          <w:szCs w:val="32"/>
          <w:lang w:val="en-US" w:eastAsia="zh-CN"/>
        </w:rPr>
        <w:t>违反本办法第十三条第二款规定，非法生产、储存、经营危险化学品的，由区应急管理局进行相应处罚</w:t>
      </w:r>
      <w:r>
        <w:rPr>
          <w:rFonts w:hint="eastAsia" w:ascii="仿宋_GB2312" w:hAnsi="仿宋_GB2312" w:eastAsia="仿宋_GB2312" w:cs="仿宋_GB2312"/>
          <w:color w:val="auto"/>
          <w:sz w:val="32"/>
          <w:szCs w:val="32"/>
          <w:highlight w:val="none"/>
          <w:lang w:val="en-US" w:eastAsia="zh-CN"/>
        </w:rPr>
        <w:t>：</w:t>
      </w:r>
      <w:r>
        <w:rPr>
          <w:rFonts w:hint="eastAsia" w:hAnsi="仿宋_GB2312" w:eastAsia="仿宋_GB2312" w:cs="仿宋_GB2312"/>
          <w:color w:val="auto"/>
          <w:sz w:val="32"/>
          <w:szCs w:val="32"/>
          <w:highlight w:val="none"/>
          <w:lang w:val="en" w:eastAsia="zh-CN"/>
        </w:rPr>
        <w:t>化工企业未取得危险化学品安全使用许可证，使用危险化学品从事生产的，责令限期改正，处十万元以上五十万元以下的罚款，逾期不改正的责令停产整顿；未取得危险化学品经营许可证从事危险化学品经营的，责令停止经营活动，没收违法经营的危险化学品以及违法所得，并处十万元以上五十万元以下的罚款；危险化学品专用储存场所未设置明显标志，危险化学品专用储存场所未设专人负责管理</w:t>
      </w:r>
      <w:r>
        <w:rPr>
          <w:rFonts w:hint="eastAsia" w:hAnsi="仿宋_GB2312" w:eastAsia="仿宋_GB2312" w:cs="仿宋_GB2312"/>
          <w:color w:val="auto"/>
          <w:sz w:val="32"/>
          <w:szCs w:val="32"/>
          <w:highlight w:val="none"/>
          <w:lang w:val="en-US" w:eastAsia="zh-CN"/>
        </w:rPr>
        <w:t>的，</w:t>
      </w:r>
      <w:r>
        <w:rPr>
          <w:rFonts w:hint="eastAsia" w:hAnsi="仿宋_GB2312" w:eastAsia="仿宋_GB2312" w:cs="仿宋_GB2312"/>
          <w:color w:val="auto"/>
          <w:sz w:val="32"/>
          <w:szCs w:val="32"/>
          <w:highlight w:val="none"/>
          <w:lang w:val="en" w:eastAsia="zh-CN"/>
        </w:rPr>
        <w:t>责令限期改正，可以处十万元以下的罚款，逾期未改正的处十万元以上二十万元以下的罚款，对其直接负责的主管人员和其他直接责任人员处二万元以上五万元以下的罚款，情节严重的责令停产停业整顿。</w:t>
      </w:r>
    </w:p>
    <w:p w14:paraId="12B761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hAnsi="仿宋_GB2312" w:eastAsia="仿宋_GB2312" w:cs="仿宋_GB2312"/>
          <w:color w:val="auto"/>
          <w:sz w:val="32"/>
          <w:szCs w:val="32"/>
          <w:highlight w:val="none"/>
          <w:lang w:val="en-US" w:eastAsia="zh-CN"/>
        </w:rPr>
      </w:pPr>
      <w:r>
        <w:rPr>
          <w:rFonts w:hint="eastAsia" w:hAnsi="仿宋_GB2312" w:eastAsia="仿宋_GB2312" w:cs="仿宋_GB2312"/>
          <w:color w:val="auto"/>
          <w:sz w:val="32"/>
          <w:szCs w:val="32"/>
          <w:highlight w:val="none"/>
          <w:lang w:val="en" w:eastAsia="zh-CN"/>
        </w:rPr>
        <w:t>对未经许可经营烟花爆竹制品，由区应急管理局责令停止非法生产、经营活动，处</w:t>
      </w:r>
      <w:r>
        <w:rPr>
          <w:rFonts w:hint="eastAsia" w:hAnsi="仿宋_GB2312" w:eastAsia="仿宋_GB2312" w:cs="仿宋_GB2312"/>
          <w:color w:val="auto"/>
          <w:sz w:val="32"/>
          <w:szCs w:val="32"/>
          <w:highlight w:val="none"/>
          <w:lang w:val="en-US" w:eastAsia="zh-CN"/>
        </w:rPr>
        <w:t>二</w:t>
      </w:r>
      <w:r>
        <w:rPr>
          <w:rFonts w:hint="eastAsia" w:hAnsi="仿宋_GB2312" w:eastAsia="仿宋_GB2312" w:cs="仿宋_GB2312"/>
          <w:color w:val="auto"/>
          <w:sz w:val="32"/>
          <w:szCs w:val="32"/>
          <w:highlight w:val="none"/>
          <w:lang w:val="en" w:eastAsia="zh-CN"/>
        </w:rPr>
        <w:t>万元以上</w:t>
      </w:r>
      <w:r>
        <w:rPr>
          <w:rFonts w:hint="eastAsia" w:hAnsi="仿宋_GB2312" w:eastAsia="仿宋_GB2312" w:cs="仿宋_GB2312"/>
          <w:color w:val="auto"/>
          <w:sz w:val="32"/>
          <w:szCs w:val="32"/>
          <w:highlight w:val="none"/>
          <w:lang w:val="en-US" w:eastAsia="zh-CN"/>
        </w:rPr>
        <w:t>十</w:t>
      </w:r>
      <w:r>
        <w:rPr>
          <w:rFonts w:hint="eastAsia" w:hAnsi="仿宋_GB2312" w:eastAsia="仿宋_GB2312" w:cs="仿宋_GB2312"/>
          <w:color w:val="auto"/>
          <w:sz w:val="32"/>
          <w:szCs w:val="32"/>
          <w:highlight w:val="none"/>
          <w:lang w:val="en" w:eastAsia="zh-CN"/>
        </w:rPr>
        <w:t>万元以下的罚款，并没收非法经营的物品及违法所得。</w:t>
      </w:r>
    </w:p>
    <w:p w14:paraId="18397A6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第二十六条【法律责任】</w:t>
      </w:r>
      <w:r>
        <w:rPr>
          <w:rFonts w:hint="eastAsia" w:ascii="仿宋_GB2312" w:hAnsi="仿宋_GB2312" w:eastAsia="仿宋_GB2312" w:cs="仿宋_GB2312"/>
          <w:color w:val="auto"/>
          <w:sz w:val="32"/>
          <w:szCs w:val="32"/>
          <w:lang w:val="en-US" w:eastAsia="zh-CN"/>
        </w:rPr>
        <w:t>违反本办法第四条规定，阻碍国家机关工作人员依法执行职务的，由新会公安分局处警告或者二百元以下罚款；情节严重的，处五日以上十日以下拘留，可以并处五百元以下罚款。</w:t>
      </w:r>
    </w:p>
    <w:p w14:paraId="4D4A8D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违反本办法第十三条第一款规定，违反有关消防技术标准和管理规定生产、储存、运输、销售、使用、销毁易燃易爆危险品的；非法携带易燃易爆危险品进入公共场所的，由新会公安分局处十日以上十五日以下拘留；情节较轻的，处五日以上十日以下拘留。</w:t>
      </w:r>
    </w:p>
    <w:p w14:paraId="115255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违反本办法第十三条第三款规定，违反消防安全规定进入生产、储存易燃易爆危险品场所的，违反规定使用明火作业或者在具有火灾、爆炸危险的场所吸烟、使用明火的，由新会公安分局处警告或者五百元以下罚款；情节严重的，处五日以下拘留。</w:t>
      </w:r>
    </w:p>
    <w:p w14:paraId="311A9B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hAnsi="仿宋_GB2312" w:eastAsia="仿宋_GB2312" w:cs="仿宋_GB2312"/>
          <w:color w:val="auto"/>
          <w:sz w:val="32"/>
          <w:szCs w:val="32"/>
          <w:highlight w:val="none"/>
          <w:lang w:val="en-US" w:eastAsia="zh-CN"/>
        </w:rPr>
        <w:t>在禁止燃放烟花爆竹的时间、地点燃放烟花爆竹，或者以危害公共安全和人身、财产安全的方式燃放烟花爆竹的，由新会公安分局责令停止燃放，处一百元以上五百元以下的罚款；构成违反治安管理行为的，依法给予治安管理处罚。</w:t>
      </w:r>
    </w:p>
    <w:p w14:paraId="739E72A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第二十七条【法律责任】</w:t>
      </w:r>
      <w:r>
        <w:rPr>
          <w:rFonts w:hint="eastAsia" w:ascii="仿宋_GB2312" w:hAnsi="仿宋_GB2312" w:eastAsia="仿宋_GB2312" w:cs="仿宋_GB2312"/>
          <w:color w:val="auto"/>
          <w:sz w:val="32"/>
          <w:szCs w:val="32"/>
          <w:lang w:val="en-US" w:eastAsia="zh-CN"/>
        </w:rPr>
        <w:t>生产经营单位违法本办法第三章的规定，文旅、教育、卫健、民政等行业主管部门应责令该单位立即消除或者限期消除，处五万元以下的罚款；生产经营单位拒不执行的，责令停产停业整顿，对其直接负责的主管人员和其他直接责任人员处五万元以上十万元以下的罚款。行业主管部门有特别规定的应按照特别规定。</w:t>
      </w:r>
    </w:p>
    <w:p w14:paraId="69CDD46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第六章  附则</w:t>
      </w:r>
    </w:p>
    <w:p w14:paraId="604E265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第二十八条【业态界定】</w:t>
      </w:r>
      <w:r>
        <w:rPr>
          <w:rFonts w:hint="eastAsia" w:ascii="仿宋_GB2312" w:hAnsi="仿宋_GB2312" w:eastAsia="仿宋_GB2312" w:cs="仿宋_GB2312"/>
          <w:color w:val="auto"/>
          <w:sz w:val="32"/>
          <w:szCs w:val="32"/>
          <w:lang w:val="en-US" w:eastAsia="zh-CN"/>
        </w:rPr>
        <w:t>本办法所称经营性自建房包括但不限于宾馆、饭店、商场、超市、民宿、集贸市场，影剧院、录像厅、礼堂等演出、放映场所，舞厅、卡拉OK厅等歌舞娱乐场所，具有娱乐功能的夜总会、音乐茶座和餐饮场所，游艺、游乐场所，保龄球馆、旱冰场、桑拿浴室等营业性健身、休闲场所，集体宿舍、养老院、福利院、托儿所、幼儿园，公共图书馆的阅览室，公共展览馆，博物馆的展示厅，生产企业、加工作坊、仓储、医疗及母婴保健服务场所和员工集体宿舍，旅游、宗教活动场所，教育培训机构、校外托管机构，出租房等经营性业态自建房屋。</w:t>
      </w:r>
    </w:p>
    <w:p w14:paraId="41A862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公众聚集场所，是指宾馆、饭店、商场、集贸市场、客运车站候车室、客运码头候船厅、民用机场航站楼、体育场馆、会堂以及公共娱乐场所等。 </w:t>
      </w:r>
    </w:p>
    <w:p w14:paraId="07F895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人员密集场所，是指公众聚集场所，医院的门诊楼、病房楼，学校的教学楼、图书馆、食堂、集体宿舍，养老院，福利院，托儿所，幼儿园，公共图书馆的阅览室，公共展览馆、博物馆的展示厅，劳动密集型企业的生产加工车间和员工集体宿舍，旅游、宗教活动场所等。</w:t>
      </w:r>
    </w:p>
    <w:p w14:paraId="23636DE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第二十九条【解释与调整】</w:t>
      </w:r>
      <w:r>
        <w:rPr>
          <w:rFonts w:hint="eastAsia" w:ascii="仿宋_GB2312" w:hAnsi="仿宋_GB2312" w:eastAsia="仿宋_GB2312" w:cs="仿宋_GB2312"/>
          <w:color w:val="auto"/>
          <w:sz w:val="32"/>
          <w:szCs w:val="32"/>
          <w:lang w:val="en-US" w:eastAsia="zh-CN"/>
        </w:rPr>
        <w:t>本办法由区消防救援局负责解释。涉及行政许可、行政处罚的内容，由对应区级部门依照相关法律法规负责解释。行业部门、乡镇人民政府和街道办事处的承担的行政处罚权及相关职权发生调整的，从其最新规定，本办法相应内容随之调整。</w:t>
      </w:r>
    </w:p>
    <w:p w14:paraId="766811F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第三十条【施行日期】</w:t>
      </w:r>
      <w:r>
        <w:rPr>
          <w:rFonts w:hint="eastAsia" w:ascii="仿宋_GB2312" w:hAnsi="仿宋_GB2312" w:eastAsia="仿宋_GB2312" w:cs="仿宋_GB2312"/>
          <w:color w:val="auto"/>
          <w:sz w:val="32"/>
          <w:szCs w:val="32"/>
          <w:lang w:val="en-US" w:eastAsia="zh-CN"/>
        </w:rPr>
        <w:t>本办法自印发之日起施行。</w:t>
      </w:r>
    </w:p>
    <w:sectPr>
      <w:footerReference r:id="rId3" w:type="default"/>
      <w:pgSz w:w="11906" w:h="16838"/>
      <w:pgMar w:top="2098" w:right="1474" w:bottom="1984" w:left="1587" w:header="907" w:footer="90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5BB0B9A-10AF-402E-ACE8-796F60FC96D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02776B51-C961-46D5-9BC4-42C8FB32EDC3}"/>
  </w:font>
  <w:font w:name="方正小标宋简体">
    <w:panose1 w:val="03000509000000000000"/>
    <w:charset w:val="86"/>
    <w:family w:val="auto"/>
    <w:pitch w:val="default"/>
    <w:sig w:usb0="00000001" w:usb1="080E0000" w:usb2="00000000" w:usb3="00000000" w:csb0="00040000" w:csb1="00000000"/>
    <w:embedRegular r:id="rId3" w:fontKey="{D72E833C-3C70-46DC-B7D9-D01F417F3579}"/>
  </w:font>
  <w:font w:name="楷体_GB2312">
    <w:panose1 w:val="02010609030101010101"/>
    <w:charset w:val="86"/>
    <w:family w:val="auto"/>
    <w:pitch w:val="default"/>
    <w:sig w:usb0="00000001" w:usb1="080E0000" w:usb2="00000000" w:usb3="00000000" w:csb0="00040000" w:csb1="00000000"/>
    <w:embedRegular r:id="rId4" w:fontKey="{1677E550-5E67-4828-9AA2-A0ABFDD5BBC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545368">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5EB14E">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F5EB14E">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7B63BF"/>
    <w:rsid w:val="005E707D"/>
    <w:rsid w:val="00C12DE3"/>
    <w:rsid w:val="02DF39F5"/>
    <w:rsid w:val="04463D2B"/>
    <w:rsid w:val="05573D16"/>
    <w:rsid w:val="059B1E55"/>
    <w:rsid w:val="064D4826"/>
    <w:rsid w:val="06A66D03"/>
    <w:rsid w:val="06F021D3"/>
    <w:rsid w:val="078E4413"/>
    <w:rsid w:val="07921036"/>
    <w:rsid w:val="088C1749"/>
    <w:rsid w:val="08BF40AC"/>
    <w:rsid w:val="09000221"/>
    <w:rsid w:val="09E375EB"/>
    <w:rsid w:val="0A7669DB"/>
    <w:rsid w:val="0A96708F"/>
    <w:rsid w:val="0AAC25FF"/>
    <w:rsid w:val="0B106E41"/>
    <w:rsid w:val="0B24469B"/>
    <w:rsid w:val="0B7A42BB"/>
    <w:rsid w:val="0C504ED0"/>
    <w:rsid w:val="0D4032E2"/>
    <w:rsid w:val="0D676AC1"/>
    <w:rsid w:val="0DD759F4"/>
    <w:rsid w:val="0E927CCC"/>
    <w:rsid w:val="0E9438E5"/>
    <w:rsid w:val="0F723AF1"/>
    <w:rsid w:val="0FB56209"/>
    <w:rsid w:val="0FFA1E6E"/>
    <w:rsid w:val="102C3500"/>
    <w:rsid w:val="10B77D5F"/>
    <w:rsid w:val="10E30B54"/>
    <w:rsid w:val="11592BC4"/>
    <w:rsid w:val="1188174B"/>
    <w:rsid w:val="123A41F8"/>
    <w:rsid w:val="126D7BC7"/>
    <w:rsid w:val="128E689D"/>
    <w:rsid w:val="129077DE"/>
    <w:rsid w:val="129640D0"/>
    <w:rsid w:val="13BF1404"/>
    <w:rsid w:val="14213E6D"/>
    <w:rsid w:val="14E83C4D"/>
    <w:rsid w:val="14FC0436"/>
    <w:rsid w:val="14FE7D0A"/>
    <w:rsid w:val="155256F8"/>
    <w:rsid w:val="15D867AD"/>
    <w:rsid w:val="15EB2077"/>
    <w:rsid w:val="1638549E"/>
    <w:rsid w:val="1840688C"/>
    <w:rsid w:val="189015C1"/>
    <w:rsid w:val="190A3122"/>
    <w:rsid w:val="19263CD4"/>
    <w:rsid w:val="196D36B1"/>
    <w:rsid w:val="1A1A0363"/>
    <w:rsid w:val="1A750A6F"/>
    <w:rsid w:val="1B0E67CD"/>
    <w:rsid w:val="1B291859"/>
    <w:rsid w:val="1B34092A"/>
    <w:rsid w:val="1BF81957"/>
    <w:rsid w:val="1C56667E"/>
    <w:rsid w:val="1CDA72AF"/>
    <w:rsid w:val="1CE30A97"/>
    <w:rsid w:val="1D507571"/>
    <w:rsid w:val="1E5B7F7C"/>
    <w:rsid w:val="1E8C6387"/>
    <w:rsid w:val="20601879"/>
    <w:rsid w:val="20784E15"/>
    <w:rsid w:val="209459C7"/>
    <w:rsid w:val="21076199"/>
    <w:rsid w:val="21354AB4"/>
    <w:rsid w:val="218872DA"/>
    <w:rsid w:val="219B7CD1"/>
    <w:rsid w:val="220D77DF"/>
    <w:rsid w:val="224C6559"/>
    <w:rsid w:val="23621DAC"/>
    <w:rsid w:val="24125580"/>
    <w:rsid w:val="24206A11"/>
    <w:rsid w:val="248D4C07"/>
    <w:rsid w:val="24A0493A"/>
    <w:rsid w:val="24F15196"/>
    <w:rsid w:val="25237319"/>
    <w:rsid w:val="26C568DA"/>
    <w:rsid w:val="26E31456"/>
    <w:rsid w:val="27F82CDF"/>
    <w:rsid w:val="28906419"/>
    <w:rsid w:val="295D1173"/>
    <w:rsid w:val="29A83125"/>
    <w:rsid w:val="2A27165A"/>
    <w:rsid w:val="2A77438F"/>
    <w:rsid w:val="2A7D127A"/>
    <w:rsid w:val="2BD61589"/>
    <w:rsid w:val="2BEB6DE3"/>
    <w:rsid w:val="2BF92C52"/>
    <w:rsid w:val="2C273B93"/>
    <w:rsid w:val="2D570F45"/>
    <w:rsid w:val="2D727090"/>
    <w:rsid w:val="2E271C28"/>
    <w:rsid w:val="2EF064BE"/>
    <w:rsid w:val="2FB77AB9"/>
    <w:rsid w:val="309612E7"/>
    <w:rsid w:val="312406A1"/>
    <w:rsid w:val="32BA6A07"/>
    <w:rsid w:val="32CB5278"/>
    <w:rsid w:val="332350B4"/>
    <w:rsid w:val="33835B53"/>
    <w:rsid w:val="34F14D3E"/>
    <w:rsid w:val="3586192A"/>
    <w:rsid w:val="35AF0E81"/>
    <w:rsid w:val="35E054DE"/>
    <w:rsid w:val="35FC1BEC"/>
    <w:rsid w:val="363B0967"/>
    <w:rsid w:val="3667350A"/>
    <w:rsid w:val="36965B9D"/>
    <w:rsid w:val="38200AAE"/>
    <w:rsid w:val="38741F0E"/>
    <w:rsid w:val="389C46FF"/>
    <w:rsid w:val="38EA21D0"/>
    <w:rsid w:val="38F80D91"/>
    <w:rsid w:val="390F5C7F"/>
    <w:rsid w:val="39673821"/>
    <w:rsid w:val="39AD0039"/>
    <w:rsid w:val="3A0461E5"/>
    <w:rsid w:val="3A687850"/>
    <w:rsid w:val="3A791A5E"/>
    <w:rsid w:val="3B654E47"/>
    <w:rsid w:val="3B8C3EB1"/>
    <w:rsid w:val="3B974891"/>
    <w:rsid w:val="3C1852A6"/>
    <w:rsid w:val="3C667DC0"/>
    <w:rsid w:val="3D3E2AEA"/>
    <w:rsid w:val="3D4E0F7F"/>
    <w:rsid w:val="3D7529B0"/>
    <w:rsid w:val="3D9F17DB"/>
    <w:rsid w:val="3DDD67A7"/>
    <w:rsid w:val="3ED64775"/>
    <w:rsid w:val="3F7B12CB"/>
    <w:rsid w:val="3FA550A3"/>
    <w:rsid w:val="400366F3"/>
    <w:rsid w:val="400B75FC"/>
    <w:rsid w:val="40BC26A4"/>
    <w:rsid w:val="40E83ED5"/>
    <w:rsid w:val="412F10C8"/>
    <w:rsid w:val="41EC3372"/>
    <w:rsid w:val="421F2EEA"/>
    <w:rsid w:val="422E5823"/>
    <w:rsid w:val="4239426D"/>
    <w:rsid w:val="42D57A4D"/>
    <w:rsid w:val="43361A71"/>
    <w:rsid w:val="433767EB"/>
    <w:rsid w:val="43A24383"/>
    <w:rsid w:val="43AB0F2B"/>
    <w:rsid w:val="442742D8"/>
    <w:rsid w:val="442B5BF7"/>
    <w:rsid w:val="448C6831"/>
    <w:rsid w:val="45B1654F"/>
    <w:rsid w:val="46340F2E"/>
    <w:rsid w:val="48B00D40"/>
    <w:rsid w:val="49E05655"/>
    <w:rsid w:val="4A0330F2"/>
    <w:rsid w:val="4A6D4A0F"/>
    <w:rsid w:val="4B6B53F2"/>
    <w:rsid w:val="4B702A09"/>
    <w:rsid w:val="4BA24F39"/>
    <w:rsid w:val="4CAC7A71"/>
    <w:rsid w:val="4CC052CA"/>
    <w:rsid w:val="4D3C7046"/>
    <w:rsid w:val="4D842730"/>
    <w:rsid w:val="4D9C1893"/>
    <w:rsid w:val="4E704ACE"/>
    <w:rsid w:val="4EFD0A57"/>
    <w:rsid w:val="4F4915A7"/>
    <w:rsid w:val="4F493C9D"/>
    <w:rsid w:val="4F6939F7"/>
    <w:rsid w:val="4F9F566B"/>
    <w:rsid w:val="4FDD6193"/>
    <w:rsid w:val="4FED4628"/>
    <w:rsid w:val="51FC4FF6"/>
    <w:rsid w:val="52262073"/>
    <w:rsid w:val="52377DDC"/>
    <w:rsid w:val="526606C2"/>
    <w:rsid w:val="528154FB"/>
    <w:rsid w:val="52B6397B"/>
    <w:rsid w:val="52C84ED8"/>
    <w:rsid w:val="530A54F1"/>
    <w:rsid w:val="530F48B5"/>
    <w:rsid w:val="53B11E10"/>
    <w:rsid w:val="54071A30"/>
    <w:rsid w:val="542E16B3"/>
    <w:rsid w:val="547A7A25"/>
    <w:rsid w:val="54807A82"/>
    <w:rsid w:val="54E104D3"/>
    <w:rsid w:val="54FC530D"/>
    <w:rsid w:val="55AA2A96"/>
    <w:rsid w:val="565860C1"/>
    <w:rsid w:val="56D54B00"/>
    <w:rsid w:val="57234DD3"/>
    <w:rsid w:val="58371B8D"/>
    <w:rsid w:val="59EA7E2A"/>
    <w:rsid w:val="5B1E5FDD"/>
    <w:rsid w:val="5BE018CB"/>
    <w:rsid w:val="5D7B63BF"/>
    <w:rsid w:val="5DBE5B1A"/>
    <w:rsid w:val="5E0A2849"/>
    <w:rsid w:val="5EA25AC1"/>
    <w:rsid w:val="5EAD6BC4"/>
    <w:rsid w:val="5EDB1859"/>
    <w:rsid w:val="5F3833E6"/>
    <w:rsid w:val="5FD27E9A"/>
    <w:rsid w:val="609C2E6C"/>
    <w:rsid w:val="610A2B60"/>
    <w:rsid w:val="61552945"/>
    <w:rsid w:val="61932B55"/>
    <w:rsid w:val="62D60F4C"/>
    <w:rsid w:val="62F92E8C"/>
    <w:rsid w:val="63512CC8"/>
    <w:rsid w:val="637A221F"/>
    <w:rsid w:val="63AD6150"/>
    <w:rsid w:val="651F3A6D"/>
    <w:rsid w:val="65792A57"/>
    <w:rsid w:val="659B36C5"/>
    <w:rsid w:val="6736645D"/>
    <w:rsid w:val="677A1810"/>
    <w:rsid w:val="6780592A"/>
    <w:rsid w:val="679747E0"/>
    <w:rsid w:val="67B5479D"/>
    <w:rsid w:val="68354966"/>
    <w:rsid w:val="686D2352"/>
    <w:rsid w:val="68D128E1"/>
    <w:rsid w:val="69C04704"/>
    <w:rsid w:val="69CA7330"/>
    <w:rsid w:val="69DF2DDC"/>
    <w:rsid w:val="69F543AD"/>
    <w:rsid w:val="6A0665BA"/>
    <w:rsid w:val="6A7C687C"/>
    <w:rsid w:val="6B5C71AC"/>
    <w:rsid w:val="6B6A2B79"/>
    <w:rsid w:val="6B731339"/>
    <w:rsid w:val="6B80414A"/>
    <w:rsid w:val="6BA75B7B"/>
    <w:rsid w:val="6D8D2B4F"/>
    <w:rsid w:val="6DCD73EF"/>
    <w:rsid w:val="6E5F273D"/>
    <w:rsid w:val="6E781A51"/>
    <w:rsid w:val="6EDA212A"/>
    <w:rsid w:val="6F1928EC"/>
    <w:rsid w:val="6FC84312"/>
    <w:rsid w:val="70003AAC"/>
    <w:rsid w:val="702E0D3F"/>
    <w:rsid w:val="705C7863"/>
    <w:rsid w:val="711F0D75"/>
    <w:rsid w:val="719646C8"/>
    <w:rsid w:val="71A5490B"/>
    <w:rsid w:val="720C2BDC"/>
    <w:rsid w:val="72121874"/>
    <w:rsid w:val="72281098"/>
    <w:rsid w:val="726245AA"/>
    <w:rsid w:val="730C17B0"/>
    <w:rsid w:val="732C6966"/>
    <w:rsid w:val="745130F8"/>
    <w:rsid w:val="74687E72"/>
    <w:rsid w:val="74A7099A"/>
    <w:rsid w:val="75166D8A"/>
    <w:rsid w:val="76A30294"/>
    <w:rsid w:val="76E063E5"/>
    <w:rsid w:val="77DF044B"/>
    <w:rsid w:val="783C1FD3"/>
    <w:rsid w:val="78857244"/>
    <w:rsid w:val="78E81581"/>
    <w:rsid w:val="790F4D60"/>
    <w:rsid w:val="79183C14"/>
    <w:rsid w:val="79FA156C"/>
    <w:rsid w:val="7A1C14E2"/>
    <w:rsid w:val="7A682979"/>
    <w:rsid w:val="7AD63D87"/>
    <w:rsid w:val="7B581BB9"/>
    <w:rsid w:val="7BB67714"/>
    <w:rsid w:val="7BF81ADB"/>
    <w:rsid w:val="7C077F70"/>
    <w:rsid w:val="7C862294"/>
    <w:rsid w:val="7CA53A11"/>
    <w:rsid w:val="7D0430D8"/>
    <w:rsid w:val="7DB859C6"/>
    <w:rsid w:val="7DEC566F"/>
    <w:rsid w:val="7E3314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Body Text"/>
    <w:basedOn w:val="1"/>
    <w:qFormat/>
    <w:uiPriority w:val="0"/>
    <w:pPr>
      <w:ind w:firstLine="0" w:firstLineChars="0"/>
      <w:jc w:val="left"/>
    </w:pPr>
    <w:rPr>
      <w:rFonts w:ascii="仿宋_GB2312" w:eastAsia="黑体"/>
      <w:lang w:val="fr-FR"/>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paragraph" w:customStyle="1" w:styleId="14">
    <w:name w:val="_Style 1"/>
    <w:basedOn w:val="1"/>
    <w:qFormat/>
    <w:uiPriority w:val="0"/>
    <w:rPr>
      <w:rFonts w:eastAsia="仿宋_GB231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7967</Words>
  <Characters>8043</Characters>
  <Lines>0</Lines>
  <Paragraphs>0</Paragraphs>
  <TotalTime>0</TotalTime>
  <ScaleCrop>false</ScaleCrop>
  <LinksUpToDate>false</LinksUpToDate>
  <CharactersWithSpaces>8075</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2026-03-05T01:59:00Z</dcterms:created>
  <dc:creator>_蒸包</dc:creator>
  <cp:lastModifiedBy>芬</cp:lastModifiedBy>
  <cp:lastPrinted>2026-07-07T00:38:00Z</cp:lastPrinted>
  <dcterms:modified xsi:type="dcterms:W3CDTF">2026-09-10T04:34:50Z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ICV">
    <vt:lpwstr>BA591BEA11D24E428622261957C1E39E_13</vt:lpwstr>
  </property>
  <property fmtid="{D5CDD505-2E9C-101B-9397-08002B2CF9AE}" pid="4" name="KSOTemplateDocerSaveRecord">
    <vt:lpwstr>eyJoZGlkIjoiNGEwNTM0NTY5OTY1ZTNkNTVkMzUwMTVkOTc0ZDBhMDUiLCJ1c2VySWQiOiIyNDY4MzIxNjEifQ==</vt:lpwstr>
  </property>
</Properties>
</file>