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F7501">
      <w:pPr>
        <w:spacing w:before="624" w:beforeLines="200" w:after="624" w:afterLines="200" w:line="360" w:lineRule="auto"/>
        <w:jc w:val="center"/>
        <w:rPr>
          <w:rFonts w:hint="eastAsia" w:ascii="楷体" w:hAnsi="楷体" w:eastAsia="楷体"/>
          <w:color w:val="000000" w:themeColor="text1"/>
          <w:sz w:val="72"/>
          <w14:textFill>
            <w14:solidFill>
              <w14:schemeClr w14:val="tx1"/>
            </w14:solidFill>
          </w14:textFill>
        </w:rPr>
      </w:pPr>
    </w:p>
    <w:p w14:paraId="67917F24">
      <w:pPr>
        <w:adjustRightInd w:val="0"/>
        <w:snapToGrid w:val="0"/>
        <w:spacing w:line="360" w:lineRule="auto"/>
        <w:jc w:val="center"/>
        <w:rPr>
          <w:rFonts w:hint="eastAsia" w:ascii="宋体" w:hAnsi="宋体" w:eastAsia="宋体" w:cs="宋体"/>
          <w:b/>
          <w:bCs/>
          <w:color w:val="000000" w:themeColor="text1"/>
          <w:sz w:val="52"/>
          <w:szCs w:val="52"/>
          <w14:textFill>
            <w14:solidFill>
              <w14:schemeClr w14:val="tx1"/>
            </w14:solidFill>
          </w14:textFill>
        </w:rPr>
      </w:pPr>
      <w:r>
        <w:rPr>
          <w:rFonts w:hint="eastAsia" w:ascii="宋体" w:hAnsi="宋体" w:eastAsia="宋体" w:cs="宋体"/>
          <w:b/>
          <w:bCs/>
          <w:color w:val="000000" w:themeColor="text1"/>
          <w:sz w:val="52"/>
          <w:szCs w:val="52"/>
          <w14:textFill>
            <w14:solidFill>
              <w14:schemeClr w14:val="tx1"/>
            </w14:solidFill>
          </w14:textFill>
        </w:rPr>
        <w:t>江门市新会区人工智能产业园</w:t>
      </w:r>
    </w:p>
    <w:p w14:paraId="7F4D47E9">
      <w:pPr>
        <w:adjustRightInd w:val="0"/>
        <w:snapToGrid w:val="0"/>
        <w:spacing w:line="360" w:lineRule="auto"/>
        <w:jc w:val="center"/>
        <w:rPr>
          <w:rFonts w:hint="eastAsia" w:ascii="宋体" w:hAnsi="宋体" w:eastAsia="宋体" w:cs="宋体"/>
          <w:b/>
          <w:bCs/>
          <w:color w:val="000000" w:themeColor="text1"/>
          <w:sz w:val="52"/>
          <w:szCs w:val="52"/>
          <w14:textFill>
            <w14:solidFill>
              <w14:schemeClr w14:val="tx1"/>
            </w14:solidFill>
          </w14:textFill>
        </w:rPr>
      </w:pPr>
      <w:r>
        <w:rPr>
          <w:rFonts w:hint="eastAsia" w:ascii="宋体" w:hAnsi="宋体" w:eastAsia="宋体" w:cs="宋体"/>
          <w:b/>
          <w:bCs/>
          <w:color w:val="000000" w:themeColor="text1"/>
          <w:sz w:val="52"/>
          <w:szCs w:val="52"/>
          <w14:textFill>
            <w14:solidFill>
              <w14:schemeClr w14:val="tx1"/>
            </w14:solidFill>
          </w14:textFill>
        </w:rPr>
        <w:t>区域气象灾害风险（雷电）评估合同</w:t>
      </w:r>
    </w:p>
    <w:p w14:paraId="2820B696">
      <w:pPr>
        <w:rPr>
          <w:rFonts w:hint="eastAsia" w:ascii="宋体" w:hAnsi="宋体" w:eastAsia="宋体" w:cs="宋体"/>
          <w:color w:val="000000" w:themeColor="text1"/>
          <w:sz w:val="28"/>
          <w14:textFill>
            <w14:solidFill>
              <w14:schemeClr w14:val="tx1"/>
            </w14:solidFill>
          </w14:textFill>
        </w:rPr>
      </w:pPr>
    </w:p>
    <w:p w14:paraId="47B129CF">
      <w:pPr>
        <w:rPr>
          <w:rFonts w:hint="eastAsia" w:ascii="宋体" w:hAnsi="宋体" w:eastAsia="宋体" w:cs="宋体"/>
          <w:color w:val="000000" w:themeColor="text1"/>
          <w:sz w:val="28"/>
          <w14:textFill>
            <w14:solidFill>
              <w14:schemeClr w14:val="tx1"/>
            </w14:solidFill>
          </w14:textFill>
        </w:rPr>
      </w:pPr>
    </w:p>
    <w:p w14:paraId="69852224">
      <w:pPr>
        <w:spacing w:line="720" w:lineRule="auto"/>
        <w:ind w:firstLine="560" w:firstLineChars="200"/>
        <w:rPr>
          <w:rFonts w:hint="eastAsia" w:ascii="宋体" w:hAnsi="宋体" w:eastAsia="宋体" w:cs="宋体"/>
          <w:color w:val="000000" w:themeColor="text1"/>
          <w:sz w:val="28"/>
          <w:szCs w:val="28"/>
          <w:u w:val="single"/>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委托方(甲方)：</w:t>
      </w:r>
      <w:r>
        <w:rPr>
          <w:rFonts w:hint="eastAsia" w:ascii="宋体" w:hAnsi="宋体" w:eastAsia="宋体" w:cs="宋体"/>
          <w:color w:val="000000" w:themeColor="text1"/>
          <w:sz w:val="28"/>
          <w:szCs w:val="28"/>
          <w:u w:val="single"/>
          <w14:textFill>
            <w14:solidFill>
              <w14:schemeClr w14:val="tx1"/>
            </w14:solidFill>
          </w14:textFill>
        </w:rPr>
        <w:t>江门市新会江睦新能源产业发展有限公司</w:t>
      </w:r>
    </w:p>
    <w:p w14:paraId="10EE51F9">
      <w:pPr>
        <w:spacing w:line="72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受托方(乙方)：</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p>
    <w:p w14:paraId="758A6D65">
      <w:pPr>
        <w:spacing w:line="720" w:lineRule="auto"/>
        <w:ind w:firstLine="560" w:firstLineChars="200"/>
        <w:jc w:val="left"/>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签 订 时 间：</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u w:val="single"/>
          <w14:textFill>
            <w14:solidFill>
              <w14:schemeClr w14:val="tx1"/>
            </w14:solidFill>
          </w14:textFill>
        </w:rPr>
        <w:t xml:space="preserve">   年  </w:t>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u w:val="single"/>
          <w14:textFill>
            <w14:solidFill>
              <w14:schemeClr w14:val="tx1"/>
            </w14:solidFill>
          </w14:textFill>
        </w:rPr>
        <w:t xml:space="preserve">月 </w:t>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u w:val="single"/>
          <w14:textFill>
            <w14:solidFill>
              <w14:schemeClr w14:val="tx1"/>
            </w14:solidFill>
          </w14:textFill>
        </w:rPr>
        <w:t xml:space="preserve">日    </w:t>
      </w:r>
      <w:r>
        <w:rPr>
          <w:rFonts w:hint="eastAsia" w:ascii="宋体" w:hAnsi="宋体" w:eastAsia="宋体" w:cs="宋体"/>
          <w:color w:val="000000" w:themeColor="text1"/>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z w:val="28"/>
          <w:szCs w:val="28"/>
          <w:u w:val="single"/>
          <w14:textFill>
            <w14:solidFill>
              <w14:schemeClr w14:val="tx1"/>
            </w14:solidFill>
          </w14:textFill>
        </w:rPr>
        <w:t xml:space="preserve">     </w:t>
      </w:r>
    </w:p>
    <w:p w14:paraId="6F12FE04">
      <w:pPr>
        <w:tabs>
          <w:tab w:val="left" w:pos="561"/>
        </w:tabs>
        <w:spacing w:line="720" w:lineRule="auto"/>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签 订 地 点：</w:t>
      </w:r>
      <w:r>
        <w:rPr>
          <w:rFonts w:hint="eastAsia" w:ascii="宋体" w:hAnsi="宋体" w:eastAsia="宋体" w:cs="宋体"/>
          <w:color w:val="000000" w:themeColor="text1"/>
          <w:sz w:val="28"/>
          <w:szCs w:val="28"/>
          <w:u w:val="single"/>
          <w14:textFill>
            <w14:solidFill>
              <w14:schemeClr w14:val="tx1"/>
            </w14:solidFill>
          </w14:textFill>
        </w:rPr>
        <w:t xml:space="preserve">  </w:t>
      </w:r>
      <w:r>
        <w:rPr>
          <w:rFonts w:hint="eastAsia" w:ascii="宋体" w:hAnsi="宋体" w:eastAsia="宋体" w:cs="宋体"/>
          <w:color w:val="000000" w:themeColor="text1"/>
          <w:spacing w:val="-10"/>
          <w:sz w:val="28"/>
          <w:szCs w:val="28"/>
          <w:u w:val="single"/>
          <w14:textFill>
            <w14:solidFill>
              <w14:schemeClr w14:val="tx1"/>
            </w14:solidFill>
          </w14:textFill>
        </w:rPr>
        <w:t xml:space="preserve">      </w:t>
      </w:r>
      <w:r>
        <w:rPr>
          <w:rFonts w:hint="eastAsia" w:ascii="宋体" w:hAnsi="宋体" w:eastAsia="宋体" w:cs="宋体"/>
          <w:color w:val="000000" w:themeColor="text1"/>
          <w:spacing w:val="-10"/>
          <w:sz w:val="28"/>
          <w:szCs w:val="28"/>
          <w:u w:val="single"/>
          <w:lang w:val="en-US" w:eastAsia="zh-CN"/>
          <w14:textFill>
            <w14:solidFill>
              <w14:schemeClr w14:val="tx1"/>
            </w14:solidFill>
          </w14:textFill>
        </w:rPr>
        <w:t xml:space="preserve">           </w:t>
      </w:r>
      <w:r>
        <w:rPr>
          <w:rFonts w:hint="eastAsia" w:ascii="宋体" w:hAnsi="宋体" w:eastAsia="宋体" w:cs="宋体"/>
          <w:color w:val="000000" w:themeColor="text1"/>
          <w:spacing w:val="-10"/>
          <w:sz w:val="28"/>
          <w:szCs w:val="28"/>
          <w:u w:val="single"/>
          <w14:textFill>
            <w14:solidFill>
              <w14:schemeClr w14:val="tx1"/>
            </w14:solidFill>
          </w14:textFill>
        </w:rPr>
        <w:t xml:space="preserve">         </w:t>
      </w:r>
      <w:r>
        <w:rPr>
          <w:rFonts w:hint="eastAsia" w:ascii="宋体" w:hAnsi="宋体" w:eastAsia="宋体" w:cs="宋体"/>
          <w:color w:val="000000" w:themeColor="text1"/>
          <w:sz w:val="28"/>
          <w:szCs w:val="28"/>
          <w:u w:val="single"/>
          <w14:textFill>
            <w14:solidFill>
              <w14:schemeClr w14:val="tx1"/>
            </w14:solidFill>
          </w14:textFill>
        </w:rPr>
        <w:t xml:space="preserve">        </w:t>
      </w:r>
    </w:p>
    <w:p w14:paraId="75B1528F">
      <w:pPr>
        <w:ind w:firstLine="360"/>
        <w:rPr>
          <w:rFonts w:hint="eastAsia" w:ascii="楷体" w:hAnsi="楷体" w:eastAsia="楷体"/>
          <w:color w:val="000000" w:themeColor="text1"/>
          <w:sz w:val="36"/>
          <w14:textFill>
            <w14:solidFill>
              <w14:schemeClr w14:val="tx1"/>
            </w14:solidFill>
          </w14:textFill>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67D4202A">
      <w:pPr>
        <w:numPr>
          <w:ilvl w:val="255"/>
          <w:numId w:val="0"/>
        </w:numPr>
        <w:wordWrap w:val="0"/>
        <w:adjustRightInd w:val="0"/>
        <w:snapToGrid w:val="0"/>
        <w:spacing w:line="360" w:lineRule="auto"/>
        <w:ind w:firstLine="480" w:firstLineChars="200"/>
        <w:jc w:val="left"/>
        <w:rPr>
          <w:rFonts w:hint="eastAsia"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val="single" w:color="auto"/>
        </w:rPr>
        <w:t>江门市新会江睦新能源产业发展有限公司</w:t>
      </w:r>
      <w:r>
        <w:rPr>
          <w:rFonts w:hint="eastAsia" w:asciiTheme="minorEastAsia" w:hAnsiTheme="minorEastAsia" w:eastAsiaTheme="minorEastAsia" w:cstheme="minorEastAsia"/>
          <w:bCs/>
          <w:snapToGrid w:val="0"/>
          <w:kern w:val="4"/>
          <w:sz w:val="24"/>
          <w:highlight w:val="none"/>
          <w:u w:color="000000"/>
        </w:rPr>
        <w:t>（以下简称甲方）开展</w:t>
      </w:r>
      <w:r>
        <w:rPr>
          <w:rFonts w:hint="eastAsia" w:asciiTheme="minorEastAsia" w:hAnsiTheme="minorEastAsia" w:eastAsiaTheme="minorEastAsia" w:cstheme="minorEastAsia"/>
          <w:bCs/>
          <w:snapToGrid w:val="0"/>
          <w:kern w:val="4"/>
          <w:sz w:val="24"/>
          <w:highlight w:val="none"/>
          <w:u w:val="single" w:color="auto"/>
        </w:rPr>
        <w:t>江门市新会区人工智能产业园区域气象灾害风险（雷电）评估</w:t>
      </w:r>
      <w:r>
        <w:rPr>
          <w:rFonts w:hint="eastAsia" w:asciiTheme="minorEastAsia" w:hAnsiTheme="minorEastAsia" w:eastAsiaTheme="minorEastAsia" w:cstheme="minorEastAsia"/>
          <w:bCs/>
          <w:snapToGrid w:val="0"/>
          <w:kern w:val="4"/>
          <w:sz w:val="24"/>
          <w:highlight w:val="none"/>
          <w:u w:color="000000"/>
        </w:rPr>
        <w:t>工作，现委托</w:t>
      </w:r>
      <w:r>
        <w:rPr>
          <w:rFonts w:hint="eastAsia" w:asciiTheme="minorEastAsia" w:hAnsiTheme="minorEastAsia" w:eastAsiaTheme="minorEastAsia" w:cstheme="minorEastAsia"/>
          <w:bCs/>
          <w:snapToGrid w:val="0"/>
          <w:kern w:val="4"/>
          <w:sz w:val="24"/>
          <w:highlight w:val="none"/>
          <w:u w:val="single" w:color="auto"/>
          <w:lang w:val="en-US" w:eastAsia="zh-CN"/>
        </w:rPr>
        <w:t xml:space="preserve">                            </w:t>
      </w:r>
      <w:r>
        <w:rPr>
          <w:rFonts w:hint="eastAsia" w:asciiTheme="minorEastAsia" w:hAnsiTheme="minorEastAsia" w:eastAsiaTheme="minorEastAsia" w:cstheme="minorEastAsia"/>
          <w:bCs/>
          <w:snapToGrid w:val="0"/>
          <w:kern w:val="4"/>
          <w:sz w:val="24"/>
          <w:highlight w:val="none"/>
          <w:u w:color="000000"/>
        </w:rPr>
        <w:t>（以下简称乙方）进行</w:t>
      </w:r>
      <w:r>
        <w:rPr>
          <w:rFonts w:hint="eastAsia" w:asciiTheme="minorEastAsia" w:hAnsiTheme="minorEastAsia" w:eastAsiaTheme="minorEastAsia" w:cstheme="minorEastAsia"/>
          <w:bCs/>
          <w:snapToGrid w:val="0"/>
          <w:kern w:val="4"/>
          <w:sz w:val="24"/>
          <w:highlight w:val="none"/>
          <w:u w:val="single" w:color="auto"/>
        </w:rPr>
        <w:t>区域气象灾害风险（雷电）评估</w:t>
      </w:r>
      <w:r>
        <w:rPr>
          <w:rFonts w:hint="eastAsia" w:asciiTheme="minorEastAsia" w:hAnsiTheme="minorEastAsia" w:eastAsiaTheme="minorEastAsia" w:cstheme="minorEastAsia"/>
          <w:bCs/>
          <w:snapToGrid w:val="0"/>
          <w:kern w:val="4"/>
          <w:sz w:val="24"/>
          <w:highlight w:val="none"/>
          <w:u w:color="000000"/>
        </w:rPr>
        <w:t>工作。为顺利开展工作，遵循平等、自愿、公平和诚实信用的原则，双方就上述委托事项协商一致，订立本合同。</w:t>
      </w:r>
    </w:p>
    <w:p w14:paraId="692C6866">
      <w:pPr>
        <w:numPr>
          <w:ilvl w:val="255"/>
          <w:numId w:val="0"/>
        </w:numPr>
        <w:wordWrap w:val="0"/>
        <w:adjustRightInd w:val="0"/>
        <w:snapToGrid w:val="0"/>
        <w:spacing w:line="360" w:lineRule="auto"/>
        <w:jc w:val="left"/>
        <w:rPr>
          <w:rFonts w:asciiTheme="minorEastAsia" w:hAnsiTheme="minorEastAsia" w:eastAsiaTheme="minorEastAsia" w:cstheme="minorEastAsia"/>
          <w:b/>
          <w:snapToGrid w:val="0"/>
          <w:kern w:val="4"/>
          <w:sz w:val="24"/>
          <w:highlight w:val="none"/>
          <w:u w:color="000000"/>
        </w:rPr>
      </w:pPr>
      <w:r>
        <w:rPr>
          <w:rFonts w:hint="eastAsia" w:asciiTheme="minorEastAsia" w:hAnsiTheme="minorEastAsia" w:eastAsiaTheme="minorEastAsia" w:cstheme="minorEastAsia"/>
          <w:b/>
          <w:snapToGrid w:val="0"/>
          <w:kern w:val="4"/>
          <w:sz w:val="24"/>
          <w:highlight w:val="none"/>
          <w:u w:color="000000"/>
        </w:rPr>
        <w:t>第一条 服务内容</w:t>
      </w:r>
    </w:p>
    <w:p w14:paraId="43C726D2">
      <w:pPr>
        <w:numPr>
          <w:ilvl w:val="255"/>
          <w:numId w:val="0"/>
        </w:num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1.1 乙方主要针对本项目的</w:t>
      </w:r>
      <w:bookmarkStart w:id="1" w:name="_GoBack"/>
      <w:bookmarkEnd w:id="1"/>
      <w:r>
        <w:rPr>
          <w:rFonts w:hint="eastAsia" w:asciiTheme="minorEastAsia" w:hAnsiTheme="minorEastAsia" w:eastAsiaTheme="minorEastAsia" w:cstheme="minorEastAsia"/>
          <w:bCs/>
          <w:snapToGrid w:val="0"/>
          <w:kern w:val="4"/>
          <w:sz w:val="24"/>
          <w:highlight w:val="none"/>
          <w:u w:color="000000"/>
          <w:lang w:eastAsia="zh-CN"/>
        </w:rPr>
        <w:t>气象灾害风险（雷电）</w:t>
      </w:r>
      <w:r>
        <w:rPr>
          <w:rFonts w:hint="eastAsia" w:asciiTheme="minorEastAsia" w:hAnsiTheme="minorEastAsia" w:eastAsiaTheme="minorEastAsia" w:cstheme="minorEastAsia"/>
          <w:bCs/>
          <w:snapToGrid w:val="0"/>
          <w:kern w:val="4"/>
          <w:sz w:val="24"/>
          <w:highlight w:val="none"/>
          <w:u w:color="000000"/>
        </w:rPr>
        <w:t>进行评估并出具《江门市新会区人工智能产业园区域气象灾害风险（雷电）评估报告》（以下称《评估报告》），《评估报告》包括但不限于以下内容：</w:t>
      </w:r>
    </w:p>
    <w:p w14:paraId="12E1E7C7">
      <w:pPr>
        <w:wordWrap w:val="0"/>
        <w:adjustRightInd w:val="0"/>
        <w:snapToGrid w:val="0"/>
        <w:spacing w:line="360" w:lineRule="auto"/>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（1）项目基本情况整理分析，包括：地理环境、结构特征、使用性质、拟采取的防雷措施；</w:t>
      </w:r>
    </w:p>
    <w:p w14:paraId="5320C1A5">
      <w:pPr>
        <w:wordWrap w:val="0"/>
        <w:adjustRightInd w:val="0"/>
        <w:snapToGrid w:val="0"/>
        <w:spacing w:line="360" w:lineRule="auto"/>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（2）项目所在区域</w:t>
      </w:r>
      <w:r>
        <w:rPr>
          <w:rFonts w:hint="eastAsia" w:asciiTheme="minorEastAsia" w:hAnsiTheme="minorEastAsia" w:eastAsiaTheme="minorEastAsia" w:cstheme="minorEastAsia"/>
          <w:bCs/>
          <w:snapToGrid w:val="0"/>
          <w:kern w:val="4"/>
          <w:sz w:val="24"/>
          <w:highlight w:val="none"/>
          <w:u w:color="000000"/>
          <w:lang w:val="en-US" w:eastAsia="zh-CN"/>
        </w:rPr>
        <w:t>气象</w:t>
      </w:r>
      <w:r>
        <w:rPr>
          <w:rFonts w:hint="eastAsia" w:asciiTheme="minorEastAsia" w:hAnsiTheme="minorEastAsia" w:eastAsiaTheme="minorEastAsia" w:cstheme="minorEastAsia"/>
          <w:bCs/>
          <w:snapToGrid w:val="0"/>
          <w:kern w:val="4"/>
          <w:sz w:val="24"/>
          <w:highlight w:val="none"/>
          <w:u w:color="000000"/>
        </w:rPr>
        <w:t>基础参数、土壤电阻率的采集和分析；</w:t>
      </w:r>
    </w:p>
    <w:p w14:paraId="03C3075A">
      <w:pPr>
        <w:wordWrap w:val="0"/>
        <w:adjustRightInd w:val="0"/>
        <w:snapToGrid w:val="0"/>
        <w:spacing w:line="360" w:lineRule="auto"/>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（3）项目的</w:t>
      </w:r>
      <w:r>
        <w:rPr>
          <w:rFonts w:hint="eastAsia" w:asciiTheme="minorEastAsia" w:hAnsiTheme="minorEastAsia" w:eastAsiaTheme="minorEastAsia" w:cstheme="minorEastAsia"/>
          <w:bCs/>
          <w:snapToGrid w:val="0"/>
          <w:kern w:val="4"/>
          <w:sz w:val="24"/>
          <w:highlight w:val="none"/>
          <w:u w:color="000000"/>
          <w:lang w:val="en-US" w:eastAsia="zh-CN"/>
        </w:rPr>
        <w:t>气象</w:t>
      </w:r>
      <w:r>
        <w:rPr>
          <w:rFonts w:hint="eastAsia" w:asciiTheme="minorEastAsia" w:hAnsiTheme="minorEastAsia" w:eastAsiaTheme="minorEastAsia" w:cstheme="minorEastAsia"/>
          <w:bCs/>
          <w:snapToGrid w:val="0"/>
          <w:kern w:val="4"/>
          <w:sz w:val="24"/>
          <w:highlight w:val="none"/>
          <w:u w:color="000000"/>
        </w:rPr>
        <w:t>灾害风险计算；</w:t>
      </w:r>
    </w:p>
    <w:p w14:paraId="3655ECE8">
      <w:pPr>
        <w:wordWrap w:val="0"/>
        <w:adjustRightInd w:val="0"/>
        <w:snapToGrid w:val="0"/>
        <w:spacing w:line="360" w:lineRule="auto"/>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（4）防御和减轻</w:t>
      </w:r>
      <w:r>
        <w:rPr>
          <w:rFonts w:hint="eastAsia" w:asciiTheme="minorEastAsia" w:hAnsiTheme="minorEastAsia" w:eastAsiaTheme="minorEastAsia" w:cstheme="minorEastAsia"/>
          <w:bCs/>
          <w:snapToGrid w:val="0"/>
          <w:kern w:val="4"/>
          <w:sz w:val="24"/>
          <w:highlight w:val="none"/>
          <w:u w:color="000000"/>
          <w:lang w:val="en-US" w:eastAsia="zh-CN"/>
        </w:rPr>
        <w:t>气象</w:t>
      </w:r>
      <w:r>
        <w:rPr>
          <w:rFonts w:hint="eastAsia" w:asciiTheme="minorEastAsia" w:hAnsiTheme="minorEastAsia" w:eastAsiaTheme="minorEastAsia" w:cstheme="minorEastAsia"/>
          <w:bCs/>
          <w:snapToGrid w:val="0"/>
          <w:kern w:val="4"/>
          <w:sz w:val="24"/>
          <w:highlight w:val="none"/>
          <w:u w:color="000000"/>
        </w:rPr>
        <w:t>灾害的对策、措施和建议</w:t>
      </w:r>
    </w:p>
    <w:p w14:paraId="7537CD47">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1.2 乙方应根据甲方委托的内容按时向甲方提交《评估报告》，《评估报告》应符合有关法律、法规、规章的规定及相关技术标准、规范的要求。</w:t>
      </w:r>
    </w:p>
    <w:p w14:paraId="1E01491A">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1.3 评估过程中由于客观条件限制，在不影响评估质量的条件下乙方可以对评估内容作局部修改。</w:t>
      </w:r>
    </w:p>
    <w:p w14:paraId="1D135A0F">
      <w:pPr>
        <w:numPr>
          <w:ilvl w:val="255"/>
          <w:numId w:val="0"/>
        </w:numPr>
        <w:wordWrap w:val="0"/>
        <w:adjustRightInd w:val="0"/>
        <w:snapToGrid w:val="0"/>
        <w:spacing w:line="360" w:lineRule="auto"/>
        <w:jc w:val="left"/>
        <w:rPr>
          <w:rFonts w:asciiTheme="minorEastAsia" w:hAnsiTheme="minorEastAsia" w:eastAsiaTheme="minorEastAsia" w:cstheme="minorEastAsia"/>
          <w:b/>
          <w:snapToGrid w:val="0"/>
          <w:kern w:val="4"/>
          <w:sz w:val="24"/>
          <w:highlight w:val="none"/>
          <w:u w:color="000000"/>
        </w:rPr>
      </w:pPr>
      <w:r>
        <w:rPr>
          <w:rFonts w:hint="eastAsia" w:asciiTheme="minorEastAsia" w:hAnsiTheme="minorEastAsia" w:eastAsiaTheme="minorEastAsia" w:cstheme="minorEastAsia"/>
          <w:b/>
          <w:snapToGrid w:val="0"/>
          <w:kern w:val="4"/>
          <w:sz w:val="24"/>
          <w:highlight w:val="none"/>
          <w:u w:color="000000"/>
        </w:rPr>
        <w:t>第二条 技术服务成果交付</w:t>
      </w:r>
    </w:p>
    <w:p w14:paraId="49E533FE">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2.1甲方应在本合同签订后</w:t>
      </w:r>
      <w:r>
        <w:rPr>
          <w:rFonts w:hint="eastAsia" w:asciiTheme="minorEastAsia" w:hAnsiTheme="minorEastAsia" w:eastAsiaTheme="minorEastAsia" w:cstheme="minorEastAsia"/>
          <w:bCs/>
          <w:snapToGrid w:val="0"/>
          <w:kern w:val="4"/>
          <w:sz w:val="24"/>
          <w:highlight w:val="none"/>
          <w:u w:val="single" w:color="auto"/>
          <w:lang w:val="en-US" w:eastAsia="zh-CN"/>
        </w:rPr>
        <w:t xml:space="preserve"> </w:t>
      </w:r>
      <w:r>
        <w:rPr>
          <w:rFonts w:hint="eastAsia" w:asciiTheme="minorEastAsia" w:hAnsiTheme="minorEastAsia" w:eastAsiaTheme="minorEastAsia" w:cstheme="minorEastAsia"/>
          <w:bCs/>
          <w:snapToGrid w:val="0"/>
          <w:kern w:val="4"/>
          <w:sz w:val="24"/>
          <w:highlight w:val="none"/>
          <w:u w:val="single"/>
        </w:rPr>
        <w:t>5</w:t>
      </w:r>
      <w:r>
        <w:rPr>
          <w:rFonts w:hint="eastAsia" w:asciiTheme="minorEastAsia" w:hAnsiTheme="minorEastAsia" w:eastAsiaTheme="minorEastAsia" w:cstheme="minorEastAsia"/>
          <w:bCs/>
          <w:snapToGrid w:val="0"/>
          <w:kern w:val="4"/>
          <w:sz w:val="24"/>
          <w:highlight w:val="none"/>
          <w:u w:val="single"/>
          <w:lang w:val="en-US" w:eastAsia="zh-CN"/>
        </w:rPr>
        <w:t xml:space="preserve"> </w:t>
      </w:r>
      <w:r>
        <w:rPr>
          <w:rFonts w:hint="eastAsia" w:asciiTheme="minorEastAsia" w:hAnsiTheme="minorEastAsia" w:eastAsiaTheme="minorEastAsia" w:cstheme="minorEastAsia"/>
          <w:bCs/>
          <w:snapToGrid w:val="0"/>
          <w:kern w:val="4"/>
          <w:sz w:val="24"/>
          <w:highlight w:val="none"/>
          <w:u w:color="000000"/>
        </w:rPr>
        <w:t>个工作日内将本合同附件一规定的资料交付乙方，乙方自收齐资料之日起</w:t>
      </w:r>
      <w:r>
        <w:rPr>
          <w:rFonts w:hint="eastAsia" w:asciiTheme="minorEastAsia" w:hAnsiTheme="minorEastAsia" w:eastAsiaTheme="minorEastAsia" w:cstheme="minorEastAsia"/>
          <w:bCs/>
          <w:snapToGrid w:val="0"/>
          <w:kern w:val="4"/>
          <w:sz w:val="24"/>
          <w:highlight w:val="none"/>
          <w:u w:val="single" w:color="auto"/>
        </w:rPr>
        <w:t xml:space="preserve"> </w:t>
      </w:r>
      <w:r>
        <w:rPr>
          <w:rFonts w:hint="eastAsia" w:asciiTheme="minorEastAsia" w:hAnsiTheme="minorEastAsia" w:eastAsiaTheme="minorEastAsia" w:cstheme="minorEastAsia"/>
          <w:bCs/>
          <w:snapToGrid w:val="0"/>
          <w:kern w:val="4"/>
          <w:sz w:val="24"/>
          <w:highlight w:val="none"/>
          <w:u w:val="single"/>
        </w:rPr>
        <w:t xml:space="preserve">90 </w:t>
      </w:r>
      <w:r>
        <w:rPr>
          <w:rFonts w:hint="eastAsia" w:asciiTheme="minorEastAsia" w:hAnsiTheme="minorEastAsia" w:eastAsiaTheme="minorEastAsia" w:cstheme="minorEastAsia"/>
          <w:bCs/>
          <w:snapToGrid w:val="0"/>
          <w:kern w:val="4"/>
          <w:sz w:val="24"/>
          <w:highlight w:val="none"/>
          <w:u w:color="000000"/>
        </w:rPr>
        <w:t>个工作日内，向甲方提交《评估报告》。</w:t>
      </w:r>
    </w:p>
    <w:p w14:paraId="565BE05D">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2.2乙方提交的《评估报告》应符合有关法律、法规、规章的规定及相关技术标准、规范的要求。</w:t>
      </w:r>
    </w:p>
    <w:p w14:paraId="7076CB59">
      <w:pPr>
        <w:wordWrap w:val="0"/>
        <w:adjustRightInd w:val="0"/>
        <w:snapToGrid w:val="0"/>
        <w:spacing w:line="360" w:lineRule="auto"/>
        <w:jc w:val="left"/>
        <w:rPr>
          <w:rFonts w:asciiTheme="minorEastAsia" w:hAnsiTheme="minorEastAsia" w:eastAsiaTheme="minorEastAsia" w:cstheme="minorEastAsia"/>
          <w:b/>
          <w:snapToGrid w:val="0"/>
          <w:kern w:val="4"/>
          <w:sz w:val="24"/>
          <w:highlight w:val="none"/>
          <w:u w:color="000000"/>
        </w:rPr>
      </w:pPr>
      <w:r>
        <w:rPr>
          <w:rFonts w:hint="eastAsia" w:asciiTheme="minorEastAsia" w:hAnsiTheme="minorEastAsia" w:eastAsiaTheme="minorEastAsia" w:cstheme="minorEastAsia"/>
          <w:b/>
          <w:snapToGrid w:val="0"/>
          <w:kern w:val="4"/>
          <w:sz w:val="24"/>
          <w:highlight w:val="none"/>
          <w:u w:color="000000"/>
        </w:rPr>
        <w:t>第三条 技术服务成果验收标准</w:t>
      </w:r>
    </w:p>
    <w:p w14:paraId="5173E809">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3.1 乙方提交技术服务成果的形式：《评估报告》一式四份。</w:t>
      </w:r>
    </w:p>
    <w:p w14:paraId="10583886">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3.2 技术服务成果的验收标准：满足</w:t>
      </w:r>
      <w:r>
        <w:rPr>
          <w:rFonts w:hint="eastAsia" w:asciiTheme="minorEastAsia" w:hAnsiTheme="minorEastAsia" w:eastAsiaTheme="minorEastAsia" w:cstheme="minorEastAsia"/>
          <w:bCs/>
          <w:snapToGrid w:val="0"/>
          <w:kern w:val="4"/>
          <w:sz w:val="24"/>
          <w:highlight w:val="none"/>
          <w:u w:color="000000"/>
          <w:lang w:val="en-US" w:eastAsia="zh-CN"/>
        </w:rPr>
        <w:t>现行</w:t>
      </w:r>
      <w:r>
        <w:rPr>
          <w:rFonts w:hint="eastAsia" w:asciiTheme="minorEastAsia" w:hAnsiTheme="minorEastAsia" w:eastAsiaTheme="minorEastAsia" w:cstheme="minorEastAsia"/>
          <w:bCs/>
          <w:snapToGrid w:val="0"/>
          <w:kern w:val="4"/>
          <w:sz w:val="24"/>
          <w:highlight w:val="none"/>
          <w:u w:color="000000"/>
        </w:rPr>
        <w:t>有关法律、法规、规章的规定及相关技术标准、规范的要求</w:t>
      </w:r>
      <w:r>
        <w:rPr>
          <w:rFonts w:hint="eastAsia" w:asciiTheme="minorEastAsia" w:hAnsiTheme="minorEastAsia" w:eastAsiaTheme="minorEastAsia" w:cstheme="minorEastAsia"/>
          <w:bCs/>
          <w:snapToGrid w:val="0"/>
          <w:kern w:val="4"/>
          <w:sz w:val="24"/>
          <w:highlight w:val="none"/>
          <w:u w:color="000000"/>
          <w:lang w:eastAsia="zh-CN"/>
        </w:rPr>
        <w:t>，</w:t>
      </w:r>
      <w:r>
        <w:rPr>
          <w:rFonts w:hint="eastAsia" w:asciiTheme="minorEastAsia" w:hAnsiTheme="minorEastAsia" w:eastAsiaTheme="minorEastAsia" w:cstheme="minorEastAsia"/>
          <w:bCs/>
          <w:snapToGrid w:val="0"/>
          <w:kern w:val="4"/>
          <w:sz w:val="24"/>
          <w:highlight w:val="none"/>
          <w:u w:color="000000"/>
          <w:lang w:val="en-US" w:eastAsia="zh-CN"/>
        </w:rPr>
        <w:t>并上报通过气象部门审批</w:t>
      </w:r>
      <w:r>
        <w:rPr>
          <w:rFonts w:hint="eastAsia" w:asciiTheme="minorEastAsia" w:hAnsiTheme="minorEastAsia" w:eastAsiaTheme="minorEastAsia" w:cstheme="minorEastAsia"/>
          <w:bCs/>
          <w:snapToGrid w:val="0"/>
          <w:kern w:val="4"/>
          <w:sz w:val="24"/>
          <w:highlight w:val="none"/>
          <w:u w:color="000000"/>
        </w:rPr>
        <w:t>。</w:t>
      </w:r>
    </w:p>
    <w:p w14:paraId="3BF749DA">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3.3 技术服务成果应满足项目防雷要求。</w:t>
      </w:r>
    </w:p>
    <w:p w14:paraId="4AD46B38">
      <w:pPr>
        <w:numPr>
          <w:ilvl w:val="255"/>
          <w:numId w:val="0"/>
        </w:numPr>
        <w:wordWrap w:val="0"/>
        <w:adjustRightInd w:val="0"/>
        <w:snapToGrid w:val="0"/>
        <w:spacing w:line="360" w:lineRule="auto"/>
        <w:jc w:val="left"/>
        <w:rPr>
          <w:rFonts w:asciiTheme="minorEastAsia" w:hAnsiTheme="minorEastAsia" w:eastAsiaTheme="minorEastAsia" w:cstheme="minorEastAsia"/>
          <w:b/>
          <w:snapToGrid w:val="0"/>
          <w:kern w:val="4"/>
          <w:sz w:val="24"/>
          <w:highlight w:val="none"/>
          <w:u w:color="000000"/>
        </w:rPr>
      </w:pPr>
      <w:r>
        <w:rPr>
          <w:rFonts w:hint="eastAsia" w:asciiTheme="minorEastAsia" w:hAnsiTheme="minorEastAsia" w:eastAsiaTheme="minorEastAsia" w:cstheme="minorEastAsia"/>
          <w:b/>
          <w:snapToGrid w:val="0"/>
          <w:kern w:val="4"/>
          <w:sz w:val="24"/>
          <w:highlight w:val="none"/>
          <w:u w:color="000000"/>
        </w:rPr>
        <w:t>第四条 合同期限</w:t>
      </w:r>
    </w:p>
    <w:p w14:paraId="1E75C6EE">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自本合同生效之日起，至双方履行义务完毕后</w:t>
      </w:r>
      <w:r>
        <w:rPr>
          <w:rFonts w:hint="eastAsia" w:asciiTheme="minorEastAsia" w:hAnsiTheme="minorEastAsia" w:eastAsiaTheme="minorEastAsia" w:cstheme="minorEastAsia"/>
          <w:bCs/>
          <w:snapToGrid w:val="0"/>
          <w:kern w:val="4"/>
          <w:sz w:val="24"/>
          <w:highlight w:val="none"/>
          <w:u w:val="single"/>
        </w:rPr>
        <w:t>100</w:t>
      </w:r>
      <w:r>
        <w:rPr>
          <w:rFonts w:hint="eastAsia" w:asciiTheme="minorEastAsia" w:hAnsiTheme="minorEastAsia" w:eastAsiaTheme="minorEastAsia" w:cstheme="minorEastAsia"/>
          <w:bCs/>
          <w:snapToGrid w:val="0"/>
          <w:kern w:val="4"/>
          <w:sz w:val="24"/>
          <w:highlight w:val="none"/>
          <w:u w:color="000000"/>
        </w:rPr>
        <w:t>日终止。</w:t>
      </w:r>
    </w:p>
    <w:p w14:paraId="7412C438">
      <w:pPr>
        <w:numPr>
          <w:ilvl w:val="255"/>
          <w:numId w:val="0"/>
        </w:numPr>
        <w:wordWrap w:val="0"/>
        <w:adjustRightInd w:val="0"/>
        <w:snapToGrid w:val="0"/>
        <w:spacing w:line="360" w:lineRule="auto"/>
        <w:jc w:val="left"/>
        <w:rPr>
          <w:rFonts w:asciiTheme="minorEastAsia" w:hAnsiTheme="minorEastAsia" w:eastAsiaTheme="minorEastAsia" w:cstheme="minorEastAsia"/>
          <w:b/>
          <w:snapToGrid w:val="0"/>
          <w:kern w:val="4"/>
          <w:sz w:val="24"/>
          <w:highlight w:val="none"/>
          <w:u w:color="000000"/>
        </w:rPr>
      </w:pPr>
      <w:r>
        <w:rPr>
          <w:rFonts w:hint="eastAsia" w:asciiTheme="minorEastAsia" w:hAnsiTheme="minorEastAsia" w:eastAsiaTheme="minorEastAsia" w:cstheme="minorEastAsia"/>
          <w:b/>
          <w:snapToGrid w:val="0"/>
          <w:kern w:val="4"/>
          <w:sz w:val="24"/>
          <w:highlight w:val="none"/>
          <w:u w:color="000000"/>
        </w:rPr>
        <w:t>第五条 费用及支付办法</w:t>
      </w:r>
    </w:p>
    <w:p w14:paraId="620F6933">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5.1本项目技术服务费总价为大写：人民币</w:t>
      </w:r>
      <w:r>
        <w:rPr>
          <w:rFonts w:hint="eastAsia" w:asciiTheme="minorEastAsia" w:hAnsiTheme="minorEastAsia" w:eastAsiaTheme="minorEastAsia" w:cstheme="minorEastAsia"/>
          <w:bCs/>
          <w:snapToGrid w:val="0"/>
          <w:kern w:val="4"/>
          <w:sz w:val="24"/>
          <w:highlight w:val="none"/>
          <w:u w:val="single" w:color="auto"/>
          <w:lang w:val="en-US" w:eastAsia="zh-CN"/>
        </w:rPr>
        <w:t xml:space="preserve">         </w:t>
      </w:r>
      <w:r>
        <w:rPr>
          <w:rFonts w:hint="eastAsia" w:asciiTheme="minorEastAsia" w:hAnsiTheme="minorEastAsia" w:eastAsiaTheme="minorEastAsia" w:cstheme="minorEastAsia"/>
          <w:bCs/>
          <w:snapToGrid w:val="0"/>
          <w:kern w:val="4"/>
          <w:sz w:val="24"/>
          <w:highlight w:val="none"/>
          <w:u w:val="single" w:color="auto"/>
        </w:rPr>
        <w:t xml:space="preserve"> </w:t>
      </w:r>
      <w:r>
        <w:rPr>
          <w:rFonts w:hint="eastAsia" w:asciiTheme="minorEastAsia" w:hAnsiTheme="minorEastAsia" w:eastAsiaTheme="minorEastAsia" w:cstheme="minorEastAsia"/>
          <w:bCs/>
          <w:snapToGrid w:val="0"/>
          <w:kern w:val="4"/>
          <w:sz w:val="24"/>
          <w:highlight w:val="none"/>
          <w:u w:color="000000"/>
        </w:rPr>
        <w:t>(¥</w:t>
      </w:r>
      <w:r>
        <w:rPr>
          <w:rFonts w:hint="eastAsia" w:asciiTheme="minorEastAsia" w:hAnsiTheme="minorEastAsia" w:eastAsiaTheme="minorEastAsia" w:cstheme="minorEastAsia"/>
          <w:bCs/>
          <w:snapToGrid w:val="0"/>
          <w:kern w:val="4"/>
          <w:sz w:val="24"/>
          <w:highlight w:val="none"/>
          <w:u w:val="single" w:color="auto"/>
          <w:lang w:val="en-US" w:eastAsia="zh-CN"/>
        </w:rPr>
        <w:t xml:space="preserve">        </w:t>
      </w:r>
      <w:r>
        <w:rPr>
          <w:rFonts w:hint="eastAsia" w:asciiTheme="minorEastAsia" w:hAnsiTheme="minorEastAsia" w:eastAsiaTheme="minorEastAsia" w:cstheme="minorEastAsia"/>
          <w:bCs/>
          <w:snapToGrid w:val="0"/>
          <w:kern w:val="4"/>
          <w:sz w:val="24"/>
          <w:highlight w:val="none"/>
          <w:u w:color="000000"/>
        </w:rPr>
        <w:t>元)。</w:t>
      </w:r>
    </w:p>
    <w:p w14:paraId="6677A04F">
      <w:pPr>
        <w:adjustRightInd w:val="0"/>
        <w:snapToGrid w:val="0"/>
        <w:spacing w:line="360" w:lineRule="auto"/>
        <w:ind w:firstLine="564"/>
        <w:rPr>
          <w:rFonts w:hint="eastAsia" w:asciiTheme="minorEastAsia" w:hAnsiTheme="minorEastAsia" w:eastAsiaTheme="minorEastAsia" w:cstheme="minorEastAsia"/>
          <w:sz w:val="24"/>
          <w:szCs w:val="24"/>
          <w:highlight w:val="none"/>
          <w:u w:val="none"/>
        </w:rPr>
      </w:pPr>
      <w:bookmarkStart w:id="0" w:name="_Hlk103865296"/>
      <w:r>
        <w:rPr>
          <w:rFonts w:hint="eastAsia" w:asciiTheme="minorEastAsia" w:hAnsiTheme="minorEastAsia" w:eastAsiaTheme="minorEastAsia" w:cstheme="minorEastAsia"/>
          <w:sz w:val="24"/>
          <w:szCs w:val="24"/>
          <w:highlight w:val="none"/>
          <w:u w:val="none"/>
          <w:lang w:val="en-US" w:eastAsia="zh-CN"/>
        </w:rPr>
        <w:t>5.2</w:t>
      </w:r>
      <w:r>
        <w:rPr>
          <w:rFonts w:hint="eastAsia" w:asciiTheme="minorEastAsia" w:hAnsiTheme="minorEastAsia" w:eastAsiaTheme="minorEastAsia" w:cstheme="minorEastAsia"/>
          <w:sz w:val="24"/>
          <w:szCs w:val="24"/>
          <w:highlight w:val="none"/>
          <w:u w:val="none"/>
        </w:rPr>
        <w:t>第一次支付：签订合同后10个工作日内，</w:t>
      </w:r>
      <w:r>
        <w:rPr>
          <w:rFonts w:hint="eastAsia" w:asciiTheme="minorEastAsia" w:hAnsiTheme="minorEastAsia" w:eastAsiaTheme="minorEastAsia" w:cstheme="minorEastAsia"/>
          <w:color w:val="auto"/>
          <w:sz w:val="24"/>
          <w:szCs w:val="24"/>
          <w:highlight w:val="none"/>
          <w:u w:val="none"/>
        </w:rPr>
        <w:t>甲方向乙方支付合同总额的</w:t>
      </w:r>
      <w:r>
        <w:rPr>
          <w:rFonts w:hint="eastAsia" w:asciiTheme="minorEastAsia" w:hAnsiTheme="minorEastAsia" w:eastAsiaTheme="minorEastAsia" w:cstheme="minorEastAsia"/>
          <w:color w:val="auto"/>
          <w:sz w:val="24"/>
          <w:szCs w:val="24"/>
          <w:highlight w:val="none"/>
          <w:u w:val="none"/>
          <w:lang w:val="en-US" w:eastAsia="zh-CN"/>
        </w:rPr>
        <w:t>3</w:t>
      </w:r>
      <w:r>
        <w:rPr>
          <w:rFonts w:hint="eastAsia" w:asciiTheme="minorEastAsia" w:hAnsiTheme="minorEastAsia" w:eastAsiaTheme="minorEastAsia" w:cstheme="minorEastAsia"/>
          <w:color w:val="auto"/>
          <w:sz w:val="24"/>
          <w:szCs w:val="24"/>
          <w:highlight w:val="none"/>
          <w:u w:val="none"/>
        </w:rPr>
        <w:t>0%，即人民币</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元（￥</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元）</w:t>
      </w:r>
      <w:r>
        <w:rPr>
          <w:rFonts w:hint="eastAsia" w:asciiTheme="minorEastAsia" w:hAnsiTheme="minorEastAsia" w:eastAsiaTheme="minorEastAsia" w:cstheme="minorEastAsia"/>
          <w:sz w:val="24"/>
          <w:szCs w:val="24"/>
          <w:highlight w:val="none"/>
          <w:u w:val="none"/>
        </w:rPr>
        <w:t>给乙方；</w:t>
      </w:r>
    </w:p>
    <w:p w14:paraId="6F15F611">
      <w:pPr>
        <w:adjustRightInd w:val="0"/>
        <w:snapToGrid w:val="0"/>
        <w:spacing w:line="360" w:lineRule="auto"/>
        <w:ind w:firstLine="564"/>
        <w:rPr>
          <w:rFonts w:hint="eastAsia" w:asciiTheme="minorEastAsia" w:hAnsiTheme="minorEastAsia" w:eastAsiaTheme="minorEastAsia" w:cstheme="minorEastAsia"/>
          <w:sz w:val="24"/>
          <w:szCs w:val="24"/>
          <w:highlight w:val="none"/>
          <w:u w:val="none"/>
        </w:rPr>
      </w:pPr>
      <w:r>
        <w:rPr>
          <w:rFonts w:hint="eastAsia" w:asciiTheme="minorEastAsia" w:hAnsiTheme="minorEastAsia" w:eastAsiaTheme="minorEastAsia" w:cstheme="minorEastAsia"/>
          <w:sz w:val="24"/>
          <w:szCs w:val="24"/>
          <w:highlight w:val="none"/>
          <w:u w:val="none"/>
          <w:lang w:val="en-US" w:eastAsia="zh-CN"/>
        </w:rPr>
        <w:t>5.3</w:t>
      </w:r>
      <w:r>
        <w:rPr>
          <w:rFonts w:hint="eastAsia" w:asciiTheme="minorEastAsia" w:hAnsiTheme="minorEastAsia" w:eastAsiaTheme="minorEastAsia" w:cstheme="minorEastAsia"/>
          <w:sz w:val="24"/>
          <w:szCs w:val="24"/>
          <w:highlight w:val="none"/>
          <w:u w:val="none"/>
        </w:rPr>
        <w:t>第二次支付：报告编制完成，提交</w:t>
      </w:r>
      <w:r>
        <w:rPr>
          <w:rFonts w:hint="eastAsia" w:asciiTheme="minorEastAsia" w:hAnsiTheme="minorEastAsia" w:eastAsiaTheme="minorEastAsia" w:cstheme="minorEastAsia"/>
          <w:sz w:val="24"/>
          <w:szCs w:val="24"/>
          <w:highlight w:val="none"/>
          <w:u w:val="none"/>
          <w:lang w:eastAsia="zh-CN"/>
        </w:rPr>
        <w:t>编制</w:t>
      </w:r>
      <w:r>
        <w:rPr>
          <w:rFonts w:hint="eastAsia" w:asciiTheme="minorEastAsia" w:hAnsiTheme="minorEastAsia" w:eastAsiaTheme="minorEastAsia" w:cstheme="minorEastAsia"/>
          <w:sz w:val="24"/>
          <w:szCs w:val="24"/>
          <w:highlight w:val="none"/>
          <w:u w:val="none"/>
        </w:rPr>
        <w:t>报告送审稿后，</w:t>
      </w:r>
      <w:r>
        <w:rPr>
          <w:rFonts w:hint="eastAsia" w:asciiTheme="minorEastAsia" w:hAnsiTheme="minorEastAsia" w:eastAsiaTheme="minorEastAsia" w:cstheme="minorEastAsia"/>
          <w:color w:val="auto"/>
          <w:sz w:val="24"/>
          <w:szCs w:val="24"/>
          <w:highlight w:val="none"/>
          <w:u w:val="none"/>
        </w:rPr>
        <w:t>甲方向乙方支付合同总额的</w:t>
      </w:r>
      <w:r>
        <w:rPr>
          <w:rFonts w:hint="eastAsia" w:asciiTheme="minorEastAsia" w:hAnsiTheme="minorEastAsia" w:eastAsiaTheme="minorEastAsia" w:cstheme="minorEastAsia"/>
          <w:color w:val="auto"/>
          <w:sz w:val="24"/>
          <w:szCs w:val="24"/>
          <w:highlight w:val="none"/>
          <w:u w:val="none"/>
          <w:lang w:val="en-US" w:eastAsia="zh-CN"/>
        </w:rPr>
        <w:t>35</w:t>
      </w:r>
      <w:r>
        <w:rPr>
          <w:rFonts w:hint="eastAsia" w:asciiTheme="minorEastAsia" w:hAnsiTheme="minorEastAsia" w:eastAsiaTheme="minorEastAsia" w:cstheme="minorEastAsia"/>
          <w:color w:val="auto"/>
          <w:sz w:val="24"/>
          <w:szCs w:val="24"/>
          <w:highlight w:val="none"/>
          <w:u w:val="none"/>
        </w:rPr>
        <w:t>%，即人民币</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元（￥</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元）</w:t>
      </w:r>
      <w:r>
        <w:rPr>
          <w:rFonts w:hint="eastAsia" w:asciiTheme="minorEastAsia" w:hAnsiTheme="minorEastAsia" w:eastAsiaTheme="minorEastAsia" w:cstheme="minorEastAsia"/>
          <w:sz w:val="24"/>
          <w:szCs w:val="24"/>
          <w:highlight w:val="none"/>
          <w:u w:val="none"/>
        </w:rPr>
        <w:t>给乙方；</w:t>
      </w:r>
    </w:p>
    <w:p w14:paraId="00110FCB">
      <w:pPr>
        <w:adjustRightInd w:val="0"/>
        <w:snapToGrid w:val="0"/>
        <w:spacing w:line="360" w:lineRule="auto"/>
        <w:ind w:firstLine="564"/>
        <w:rPr>
          <w:rFonts w:hint="eastAsia" w:asciiTheme="minorEastAsia" w:hAnsiTheme="minorEastAsia" w:eastAsiaTheme="minorEastAsia" w:cstheme="minorEastAsia"/>
          <w:sz w:val="24"/>
          <w:szCs w:val="24"/>
          <w:highlight w:val="none"/>
          <w:u w:val="none"/>
        </w:rPr>
      </w:pPr>
      <w:r>
        <w:rPr>
          <w:rFonts w:hint="eastAsia" w:asciiTheme="minorEastAsia" w:hAnsiTheme="minorEastAsia" w:eastAsiaTheme="minorEastAsia" w:cstheme="minorEastAsia"/>
          <w:sz w:val="24"/>
          <w:szCs w:val="24"/>
          <w:highlight w:val="none"/>
          <w:u w:val="none"/>
          <w:lang w:val="en-US" w:eastAsia="zh-CN"/>
        </w:rPr>
        <w:t>5.4</w:t>
      </w:r>
      <w:r>
        <w:rPr>
          <w:rFonts w:hint="eastAsia" w:asciiTheme="minorEastAsia" w:hAnsiTheme="minorEastAsia" w:eastAsiaTheme="minorEastAsia" w:cstheme="minorEastAsia"/>
          <w:sz w:val="24"/>
          <w:szCs w:val="24"/>
          <w:highlight w:val="none"/>
          <w:u w:val="none"/>
        </w:rPr>
        <w:t>第三次支付：</w:t>
      </w:r>
      <w:r>
        <w:rPr>
          <w:rFonts w:hint="eastAsia" w:asciiTheme="minorEastAsia" w:hAnsiTheme="minorEastAsia" w:eastAsiaTheme="minorEastAsia" w:cstheme="minorEastAsia"/>
          <w:sz w:val="24"/>
          <w:szCs w:val="24"/>
          <w:highlight w:val="none"/>
          <w:u w:val="none"/>
          <w:lang w:eastAsia="zh-CN"/>
        </w:rPr>
        <w:t>编制</w:t>
      </w:r>
      <w:r>
        <w:rPr>
          <w:rFonts w:hint="eastAsia" w:asciiTheme="minorEastAsia" w:hAnsiTheme="minorEastAsia" w:eastAsiaTheme="minorEastAsia" w:cstheme="minorEastAsia"/>
          <w:sz w:val="24"/>
          <w:szCs w:val="24"/>
          <w:highlight w:val="none"/>
          <w:u w:val="none"/>
        </w:rPr>
        <w:t>报告通过评审后，提交报批稿，</w:t>
      </w:r>
      <w:r>
        <w:rPr>
          <w:rFonts w:hint="eastAsia" w:asciiTheme="minorEastAsia" w:hAnsiTheme="minorEastAsia" w:eastAsiaTheme="minorEastAsia" w:cstheme="minorEastAsia"/>
          <w:color w:val="auto"/>
          <w:sz w:val="24"/>
          <w:szCs w:val="24"/>
          <w:highlight w:val="none"/>
          <w:u w:val="none"/>
        </w:rPr>
        <w:t>甲方向乙方支付合同总额的</w:t>
      </w:r>
      <w:r>
        <w:rPr>
          <w:rFonts w:hint="eastAsia" w:asciiTheme="minorEastAsia" w:hAnsiTheme="minorEastAsia" w:eastAsiaTheme="minorEastAsia" w:cstheme="minorEastAsia"/>
          <w:color w:val="auto"/>
          <w:sz w:val="24"/>
          <w:szCs w:val="24"/>
          <w:highlight w:val="none"/>
          <w:u w:val="none"/>
          <w:lang w:val="en-US" w:eastAsia="zh-CN"/>
        </w:rPr>
        <w:t>35</w:t>
      </w:r>
      <w:r>
        <w:rPr>
          <w:rFonts w:hint="eastAsia" w:asciiTheme="minorEastAsia" w:hAnsiTheme="minorEastAsia" w:eastAsiaTheme="minorEastAsia" w:cstheme="minorEastAsia"/>
          <w:color w:val="auto"/>
          <w:sz w:val="24"/>
          <w:szCs w:val="24"/>
          <w:highlight w:val="none"/>
          <w:u w:val="none"/>
        </w:rPr>
        <w:t>%，即人民币</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元（￥</w:t>
      </w:r>
      <w:r>
        <w:rPr>
          <w:rFonts w:hint="eastAsia" w:asciiTheme="minorEastAsia" w:hAnsiTheme="minorEastAsia" w:eastAsiaTheme="minorEastAsia" w:cstheme="minorEastAsia"/>
          <w:color w:val="auto"/>
          <w:sz w:val="24"/>
          <w:szCs w:val="24"/>
          <w:highlight w:val="none"/>
          <w:u w:val="none"/>
          <w:lang w:val="en-US" w:eastAsia="zh-CN"/>
        </w:rPr>
        <w:t xml:space="preserve">        </w:t>
      </w:r>
      <w:r>
        <w:rPr>
          <w:rFonts w:hint="eastAsia" w:asciiTheme="minorEastAsia" w:hAnsiTheme="minorEastAsia" w:eastAsiaTheme="minorEastAsia" w:cstheme="minorEastAsia"/>
          <w:color w:val="auto"/>
          <w:sz w:val="24"/>
          <w:szCs w:val="24"/>
          <w:highlight w:val="none"/>
          <w:u w:val="none"/>
        </w:rPr>
        <w:t>元）</w:t>
      </w:r>
      <w:r>
        <w:rPr>
          <w:rFonts w:hint="eastAsia" w:asciiTheme="minorEastAsia" w:hAnsiTheme="minorEastAsia" w:eastAsiaTheme="minorEastAsia" w:cstheme="minorEastAsia"/>
          <w:sz w:val="24"/>
          <w:szCs w:val="24"/>
          <w:highlight w:val="none"/>
          <w:u w:val="none"/>
        </w:rPr>
        <w:t>给乙方。</w:t>
      </w:r>
      <w:bookmarkEnd w:id="0"/>
    </w:p>
    <w:p w14:paraId="08DE97FF">
      <w:pPr>
        <w:wordWrap w:val="0"/>
        <w:adjustRightInd w:val="0"/>
        <w:snapToGrid w:val="0"/>
        <w:spacing w:line="360" w:lineRule="auto"/>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说明：</w:t>
      </w:r>
    </w:p>
    <w:p w14:paraId="4025FB15">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①各项付款前乙方均应提供相等于付款金额的合法有效的增值税（</w:t>
      </w:r>
      <w:r>
        <w:rPr>
          <w:rFonts w:hint="eastAsia" w:asciiTheme="minorEastAsia" w:hAnsiTheme="minorEastAsia" w:eastAsiaTheme="minorEastAsia" w:cstheme="minorEastAsia"/>
          <w:bCs/>
          <w:snapToGrid w:val="0"/>
          <w:kern w:val="4"/>
          <w:sz w:val="24"/>
          <w:highlight w:val="none"/>
          <w:u w:color="000000"/>
          <w:lang w:eastAsia="zh-CN"/>
        </w:rPr>
        <w:t>□</w:t>
      </w:r>
      <w:r>
        <w:rPr>
          <w:rFonts w:hint="eastAsia" w:asciiTheme="minorEastAsia" w:hAnsiTheme="minorEastAsia" w:eastAsiaTheme="minorEastAsia" w:cstheme="minorEastAsia"/>
          <w:bCs/>
          <w:snapToGrid w:val="0"/>
          <w:kern w:val="4"/>
          <w:sz w:val="24"/>
          <w:highlight w:val="none"/>
          <w:u w:color="000000"/>
        </w:rPr>
        <w:t>专用□普通）发票给项目业主；乙方应承担的违约金、赔偿款等费用，甲方有权在合同款中扣除。</w:t>
      </w:r>
    </w:p>
    <w:p w14:paraId="48F1BE6A">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②该项目为政府投资项目，实行财政国库集中支付管理，乙方达到上述申请合同款项的相关条件后，向甲方提供相关证明资料，经甲方审核后，可提出资金</w:t>
      </w:r>
    </w:p>
    <w:p w14:paraId="09CA179D">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 xml:space="preserve">企业名称： </w:t>
      </w:r>
    </w:p>
    <w:p w14:paraId="5325E758">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统一社会信用代码：</w:t>
      </w:r>
    </w:p>
    <w:p w14:paraId="0F26E443">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 xml:space="preserve">地址： </w:t>
      </w:r>
    </w:p>
    <w:p w14:paraId="06AD0FCA">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电话：</w:t>
      </w:r>
    </w:p>
    <w:p w14:paraId="71D8256C">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 xml:space="preserve">开户行： </w:t>
      </w:r>
    </w:p>
    <w:p w14:paraId="0AF779DF">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账户：</w:t>
      </w:r>
    </w:p>
    <w:p w14:paraId="1F96D4AE">
      <w:pPr>
        <w:widowControl/>
        <w:wordWrap w:val="0"/>
        <w:adjustRightInd w:val="0"/>
        <w:snapToGrid w:val="0"/>
        <w:spacing w:line="360" w:lineRule="auto"/>
        <w:ind w:firstLine="480" w:firstLineChars="200"/>
        <w:jc w:val="left"/>
        <w:rPr>
          <w:rFonts w:asciiTheme="minorEastAsia" w:hAnsiTheme="minorEastAsia" w:eastAsiaTheme="minorEastAsia" w:cstheme="minorEastAsia"/>
          <w:bCs/>
          <w:snapToGrid w:val="0"/>
          <w:sz w:val="24"/>
          <w:highlight w:val="none"/>
          <w:u w:color="000000"/>
        </w:rPr>
      </w:pPr>
      <w:r>
        <w:rPr>
          <w:rFonts w:hint="eastAsia" w:asciiTheme="minorEastAsia" w:hAnsiTheme="minorEastAsia" w:eastAsiaTheme="minorEastAsia" w:cstheme="minorEastAsia"/>
          <w:bCs/>
          <w:snapToGrid w:val="0"/>
          <w:kern w:val="4"/>
          <w:sz w:val="24"/>
          <w:highlight w:val="none"/>
          <w:u w:color="000000"/>
        </w:rPr>
        <w:t>5.4乙方</w:t>
      </w:r>
      <w:r>
        <w:rPr>
          <w:rFonts w:hint="eastAsia" w:asciiTheme="minorEastAsia" w:hAnsiTheme="minorEastAsia" w:eastAsiaTheme="minorEastAsia" w:cstheme="minorEastAsia"/>
          <w:bCs/>
          <w:snapToGrid w:val="0"/>
          <w:sz w:val="24"/>
          <w:highlight w:val="none"/>
          <w:u w:color="000000"/>
        </w:rPr>
        <w:t>缴款账户</w:t>
      </w:r>
    </w:p>
    <w:p w14:paraId="29294504">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sz w:val="24"/>
          <w:highlight w:val="none"/>
          <w:u w:color="000000"/>
        </w:rPr>
      </w:pPr>
      <w:r>
        <w:rPr>
          <w:rFonts w:hint="eastAsia" w:asciiTheme="minorEastAsia" w:hAnsiTheme="minorEastAsia" w:eastAsiaTheme="minorEastAsia" w:cstheme="minorEastAsia"/>
          <w:bCs/>
          <w:snapToGrid w:val="0"/>
          <w:sz w:val="24"/>
          <w:highlight w:val="none"/>
          <w:u w:color="000000"/>
        </w:rPr>
        <w:t xml:space="preserve">户名： </w:t>
      </w:r>
    </w:p>
    <w:p w14:paraId="772D781D">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sz w:val="24"/>
          <w:highlight w:val="none"/>
          <w:u w:color="000000"/>
        </w:rPr>
      </w:pPr>
      <w:r>
        <w:rPr>
          <w:rFonts w:hint="eastAsia" w:asciiTheme="minorEastAsia" w:hAnsiTheme="minorEastAsia" w:eastAsiaTheme="minorEastAsia" w:cstheme="minorEastAsia"/>
          <w:bCs/>
          <w:snapToGrid w:val="0"/>
          <w:sz w:val="24"/>
          <w:highlight w:val="none"/>
          <w:u w:color="000000"/>
        </w:rPr>
        <w:t>纳税人识别号：</w:t>
      </w:r>
    </w:p>
    <w:p w14:paraId="62AD0038">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sz w:val="24"/>
          <w:highlight w:val="none"/>
          <w:u w:color="000000"/>
        </w:rPr>
      </w:pPr>
      <w:r>
        <w:rPr>
          <w:rFonts w:hint="eastAsia" w:asciiTheme="minorEastAsia" w:hAnsiTheme="minorEastAsia" w:eastAsiaTheme="minorEastAsia" w:cstheme="minorEastAsia"/>
          <w:bCs/>
          <w:snapToGrid w:val="0"/>
          <w:sz w:val="24"/>
          <w:highlight w:val="none"/>
          <w:u w:color="000000"/>
        </w:rPr>
        <w:t>开户银行及账号：</w:t>
      </w:r>
    </w:p>
    <w:p w14:paraId="0B2B9980">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sz w:val="24"/>
          <w:highlight w:val="none"/>
          <w:u w:color="000000"/>
        </w:rPr>
      </w:pPr>
      <w:r>
        <w:rPr>
          <w:rFonts w:hint="eastAsia" w:asciiTheme="minorEastAsia" w:hAnsiTheme="minorEastAsia" w:eastAsiaTheme="minorEastAsia" w:cstheme="minorEastAsia"/>
          <w:bCs/>
          <w:snapToGrid w:val="0"/>
          <w:sz w:val="24"/>
          <w:highlight w:val="none"/>
          <w:u w:color="000000"/>
        </w:rPr>
        <w:t>地址电话：</w:t>
      </w:r>
    </w:p>
    <w:p w14:paraId="0B13316B">
      <w:pPr>
        <w:numPr>
          <w:ilvl w:val="255"/>
          <w:numId w:val="0"/>
        </w:numPr>
        <w:wordWrap w:val="0"/>
        <w:adjustRightInd w:val="0"/>
        <w:snapToGrid w:val="0"/>
        <w:spacing w:line="360" w:lineRule="auto"/>
        <w:jc w:val="left"/>
        <w:rPr>
          <w:rFonts w:asciiTheme="minorEastAsia" w:hAnsiTheme="minorEastAsia" w:eastAsiaTheme="minorEastAsia" w:cstheme="minorEastAsia"/>
          <w:b/>
          <w:snapToGrid w:val="0"/>
          <w:kern w:val="4"/>
          <w:sz w:val="24"/>
          <w:highlight w:val="none"/>
          <w:u w:color="000000"/>
        </w:rPr>
      </w:pPr>
      <w:r>
        <w:rPr>
          <w:rFonts w:hint="eastAsia" w:asciiTheme="minorEastAsia" w:hAnsiTheme="minorEastAsia" w:eastAsiaTheme="minorEastAsia" w:cstheme="minorEastAsia"/>
          <w:b/>
          <w:snapToGrid w:val="0"/>
          <w:kern w:val="4"/>
          <w:sz w:val="24"/>
          <w:highlight w:val="none"/>
          <w:u w:color="000000"/>
        </w:rPr>
        <w:t>第六条 双方责任</w:t>
      </w:r>
    </w:p>
    <w:p w14:paraId="0D91B4D7">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6.1 甲方责任</w:t>
      </w:r>
    </w:p>
    <w:p w14:paraId="5F56861C">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（1）甲方应在本合同签订后5天内向乙方提交本合同附件一规定的资料、文件。</w:t>
      </w:r>
    </w:p>
    <w:p w14:paraId="12FEFF35">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（2）在国家相关法律和规定允许范围内，甲方应派员为乙方技术工作人员开展现场勘查、检测等工作提供一切便利条件，但不包括提供专业知识、工程技术人员和物质支持。</w:t>
      </w:r>
    </w:p>
    <w:p w14:paraId="7A07D5AD">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（3）甲方应充分协调乙方与建筑、结构、电气、给排水等各设计单位等部门的关系，以确保乙方可与各部门之间的相互协调与配合。</w:t>
      </w:r>
    </w:p>
    <w:p w14:paraId="566552CB">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6.2 乙方责任</w:t>
      </w:r>
    </w:p>
    <w:p w14:paraId="61147358">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（1）乙方技术人员应严格遵守甲乙双方内部的各项管理规定，认真作好气象灾害风险评估，发现问题应及时通知甲方。</w:t>
      </w:r>
    </w:p>
    <w:p w14:paraId="221CA429">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（2）乙方应保证按照本合同规定的时间完成评估成果，若确因不可预见的原因无法完成服务成果时，由双方另行协商确定服务成果的完成时间。</w:t>
      </w:r>
    </w:p>
    <w:p w14:paraId="4F3D179C">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（3）乙方保证不向任何甲方允许范围之外的第三方扩散、转移甲方提交的图纸、资料等，因乙方违反本条给甲方造成损失的，乙方应负相应责任。</w:t>
      </w:r>
    </w:p>
    <w:p w14:paraId="3B07147F">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（4）根据《中华人民共和国标准化法》“国家鼓励采用国际标准和国外先进标准”的规定，乙方有义务在同甲方协商后及时向设计方推荐适用先进的防雷技术和做法，并指导相关的施工单位进行实际施工。</w:t>
      </w:r>
    </w:p>
    <w:p w14:paraId="0AD6F733">
      <w:pPr>
        <w:wordWrap w:val="0"/>
        <w:adjustRightInd w:val="0"/>
        <w:snapToGrid w:val="0"/>
        <w:spacing w:line="360" w:lineRule="auto"/>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（5）乙方必须同时以书面形式（一式四份）向甲方提交技术服务成果文件。</w:t>
      </w:r>
    </w:p>
    <w:p w14:paraId="74715890">
      <w:pPr>
        <w:numPr>
          <w:ilvl w:val="255"/>
          <w:numId w:val="0"/>
        </w:numPr>
        <w:wordWrap w:val="0"/>
        <w:adjustRightInd w:val="0"/>
        <w:snapToGrid w:val="0"/>
        <w:spacing w:line="360" w:lineRule="auto"/>
        <w:jc w:val="left"/>
        <w:rPr>
          <w:rFonts w:asciiTheme="minorEastAsia" w:hAnsiTheme="minorEastAsia" w:eastAsiaTheme="minorEastAsia" w:cstheme="minorEastAsia"/>
          <w:b/>
          <w:snapToGrid w:val="0"/>
          <w:kern w:val="4"/>
          <w:sz w:val="24"/>
          <w:highlight w:val="none"/>
          <w:u w:color="000000"/>
        </w:rPr>
      </w:pPr>
      <w:r>
        <w:rPr>
          <w:rFonts w:hint="eastAsia" w:asciiTheme="minorEastAsia" w:hAnsiTheme="minorEastAsia" w:eastAsiaTheme="minorEastAsia" w:cstheme="minorEastAsia"/>
          <w:b/>
          <w:snapToGrid w:val="0"/>
          <w:kern w:val="4"/>
          <w:sz w:val="24"/>
          <w:highlight w:val="none"/>
          <w:u w:color="000000"/>
        </w:rPr>
        <w:t>第七条 违约责任</w:t>
      </w:r>
    </w:p>
    <w:p w14:paraId="7926524C">
      <w:pPr>
        <w:widowControl/>
        <w:shd w:val="clear" w:color="auto" w:fill="FFFFFF"/>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7.1 如甲方不按本合同规定的时间向乙方送交有关文件和资料，造成评估报告交付时间延误的，由甲方负责。</w:t>
      </w:r>
    </w:p>
    <w:p w14:paraId="19EC042C">
      <w:pPr>
        <w:widowControl/>
        <w:shd w:val="clear" w:color="auto" w:fill="FFFFFF"/>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7.2 如乙方提供的服务成果不符合本合同要求，乙方应进行补充完善并自行承担由此产生的费用；若乙方无力补充完善，需甲方另行委托其他单位时，乙方应自行承担</w:t>
      </w:r>
      <w:r>
        <w:rPr>
          <w:rFonts w:hint="eastAsia" w:asciiTheme="minorEastAsia" w:hAnsiTheme="minorEastAsia" w:eastAsiaTheme="minorEastAsia" w:cstheme="minorEastAsia"/>
          <w:bCs/>
          <w:snapToGrid w:val="0"/>
          <w:kern w:val="4"/>
          <w:sz w:val="24"/>
          <w:highlight w:val="none"/>
          <w:u w:color="000000"/>
          <w:lang w:val="en-US" w:eastAsia="zh-CN"/>
        </w:rPr>
        <w:t>由</w:t>
      </w:r>
      <w:r>
        <w:rPr>
          <w:rFonts w:hint="eastAsia" w:asciiTheme="minorEastAsia" w:hAnsiTheme="minorEastAsia" w:eastAsiaTheme="minorEastAsia" w:cstheme="minorEastAsia"/>
          <w:bCs/>
          <w:snapToGrid w:val="0"/>
          <w:kern w:val="4"/>
          <w:sz w:val="24"/>
          <w:highlight w:val="none"/>
          <w:u w:color="000000"/>
        </w:rPr>
        <w:t>此产生的全部费用；如因乙方提交的服务成果不符合本合同要求，给甲方造成损失的，乙方需承担全部赔偿责任。</w:t>
      </w:r>
    </w:p>
    <w:p w14:paraId="7846AD3E">
      <w:pPr>
        <w:numPr>
          <w:ilvl w:val="255"/>
          <w:numId w:val="0"/>
        </w:numPr>
        <w:wordWrap w:val="0"/>
        <w:adjustRightInd w:val="0"/>
        <w:snapToGrid w:val="0"/>
        <w:spacing w:line="360" w:lineRule="auto"/>
        <w:jc w:val="left"/>
        <w:rPr>
          <w:rFonts w:asciiTheme="minorEastAsia" w:hAnsiTheme="minorEastAsia" w:eastAsiaTheme="minorEastAsia" w:cstheme="minorEastAsia"/>
          <w:b/>
          <w:snapToGrid w:val="0"/>
          <w:kern w:val="4"/>
          <w:sz w:val="24"/>
          <w:highlight w:val="none"/>
          <w:u w:color="000000"/>
        </w:rPr>
      </w:pPr>
      <w:r>
        <w:rPr>
          <w:rFonts w:hint="eastAsia" w:asciiTheme="minorEastAsia" w:hAnsiTheme="minorEastAsia" w:eastAsiaTheme="minorEastAsia" w:cstheme="minorEastAsia"/>
          <w:b/>
          <w:snapToGrid w:val="0"/>
          <w:kern w:val="4"/>
          <w:sz w:val="24"/>
          <w:highlight w:val="none"/>
          <w:u w:color="000000"/>
        </w:rPr>
        <w:t>第八条 合同变更、解除与终止</w:t>
      </w:r>
    </w:p>
    <w:p w14:paraId="2C2ED81F">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8.1 合同未尽事宜，甲方与乙方可以另行协商签订补充合同。</w:t>
      </w:r>
    </w:p>
    <w:p w14:paraId="7FC8CE47">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8.2 除法定或本合同另有约定外，任何一方不得单方解除合同。</w:t>
      </w:r>
    </w:p>
    <w:p w14:paraId="166C471D">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8.3 除法定和合同约定外，有下列情形之一的，甲方或乙方可以解除合同；</w:t>
      </w:r>
    </w:p>
    <w:p w14:paraId="4F6EB40F">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（1）因不可抗力致使合同无法履行；</w:t>
      </w:r>
    </w:p>
    <w:p w14:paraId="61D9FB44">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（2）因一方严重违约致使合同目的无法履行；</w:t>
      </w:r>
    </w:p>
    <w:p w14:paraId="40D53CC6">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（3）因一方违约致使合同目的无法实现。</w:t>
      </w:r>
    </w:p>
    <w:p w14:paraId="0509E68C">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8.4 甲乙双方就本合同解除协商一致的，可以解除合同。</w:t>
      </w:r>
    </w:p>
    <w:p w14:paraId="400F939C">
      <w:pPr>
        <w:wordWrap w:val="0"/>
        <w:adjustRightInd w:val="0"/>
        <w:snapToGrid w:val="0"/>
        <w:spacing w:line="360" w:lineRule="auto"/>
        <w:ind w:left="342" w:leftChars="114" w:firstLine="240" w:firstLineChars="1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8.5 本合同当事人一方依法律规定或本合同约定要求解除合同的，应当书面通知对方，通知</w:t>
      </w:r>
    </w:p>
    <w:p w14:paraId="6FE6AAE8">
      <w:pPr>
        <w:wordWrap w:val="0"/>
        <w:adjustRightInd w:val="0"/>
        <w:snapToGrid w:val="0"/>
        <w:spacing w:line="360" w:lineRule="auto"/>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到达对方时合同解除。</w:t>
      </w:r>
    </w:p>
    <w:p w14:paraId="559D5C7B">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8.6 本合同的权利和义务终止后，甲乙双方应当遵循诚实信用原则，履行通知、协助等义务。</w:t>
      </w:r>
    </w:p>
    <w:p w14:paraId="712B3DEC">
      <w:pPr>
        <w:numPr>
          <w:ilvl w:val="255"/>
          <w:numId w:val="0"/>
        </w:numPr>
        <w:wordWrap w:val="0"/>
        <w:adjustRightInd w:val="0"/>
        <w:snapToGrid w:val="0"/>
        <w:spacing w:line="360" w:lineRule="auto"/>
        <w:jc w:val="left"/>
        <w:rPr>
          <w:rFonts w:asciiTheme="minorEastAsia" w:hAnsiTheme="minorEastAsia" w:eastAsiaTheme="minorEastAsia" w:cstheme="minorEastAsia"/>
          <w:b/>
          <w:snapToGrid w:val="0"/>
          <w:kern w:val="4"/>
          <w:sz w:val="24"/>
          <w:highlight w:val="none"/>
          <w:u w:color="000000"/>
        </w:rPr>
      </w:pPr>
      <w:r>
        <w:rPr>
          <w:rFonts w:hint="eastAsia" w:asciiTheme="minorEastAsia" w:hAnsiTheme="minorEastAsia" w:eastAsiaTheme="minorEastAsia" w:cstheme="minorEastAsia"/>
          <w:b/>
          <w:snapToGrid w:val="0"/>
          <w:kern w:val="4"/>
          <w:sz w:val="24"/>
          <w:highlight w:val="none"/>
          <w:u w:color="000000"/>
        </w:rPr>
        <w:t>第九条 保密义务</w:t>
      </w:r>
    </w:p>
    <w:p w14:paraId="50184DEB">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9.1 在合同履行过程中及合同终止后，没有甲方的书面同意，乙方不得向外泄漏与本合同项目、本合同及甲方的业务和经营有关资料。</w:t>
      </w:r>
    </w:p>
    <w:p w14:paraId="44970A78">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9.2 本合同终止后，未经甲方书面同意，乙方也不得泄漏与本合同项目相关的任何资料和情况。</w:t>
      </w:r>
    </w:p>
    <w:p w14:paraId="638EA655">
      <w:pPr>
        <w:numPr>
          <w:ilvl w:val="255"/>
          <w:numId w:val="0"/>
        </w:numPr>
        <w:wordWrap w:val="0"/>
        <w:adjustRightInd w:val="0"/>
        <w:snapToGrid w:val="0"/>
        <w:spacing w:line="360" w:lineRule="auto"/>
        <w:jc w:val="left"/>
        <w:rPr>
          <w:rFonts w:asciiTheme="minorEastAsia" w:hAnsiTheme="minorEastAsia" w:eastAsiaTheme="minorEastAsia" w:cstheme="minorEastAsia"/>
          <w:b/>
          <w:snapToGrid w:val="0"/>
          <w:kern w:val="4"/>
          <w:sz w:val="24"/>
          <w:highlight w:val="none"/>
          <w:u w:color="000000"/>
        </w:rPr>
      </w:pPr>
      <w:r>
        <w:rPr>
          <w:rFonts w:hint="eastAsia" w:asciiTheme="minorEastAsia" w:hAnsiTheme="minorEastAsia" w:eastAsiaTheme="minorEastAsia" w:cstheme="minorEastAsia"/>
          <w:b/>
          <w:snapToGrid w:val="0"/>
          <w:kern w:val="4"/>
          <w:sz w:val="24"/>
          <w:highlight w:val="none"/>
          <w:u w:color="000000"/>
        </w:rPr>
        <w:t>第十条 其他</w:t>
      </w:r>
    </w:p>
    <w:p w14:paraId="48388097">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10.1 甲方对乙方为本合同目的编制的所有文件拥有完整的知识产权。</w:t>
      </w:r>
    </w:p>
    <w:p w14:paraId="30ACF032">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10.2 本合同在履行过程中发生纠纷的，甲方与乙方应本着友好协商的原则及时协商解决。协商不成时，由项目所在地有管辖权的人民法院裁决。</w:t>
      </w:r>
    </w:p>
    <w:p w14:paraId="4D4BBA3D">
      <w:pPr>
        <w:wordWrap w:val="0"/>
        <w:adjustRightInd w:val="0"/>
        <w:snapToGrid w:val="0"/>
        <w:spacing w:line="360" w:lineRule="auto"/>
        <w:ind w:firstLine="480" w:firstLineChars="200"/>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10.3 本合同一式肆份，甲方执贰份，乙方执贰份，自双方签字盖章之日起生效，所有文本具有同等法律效力。</w:t>
      </w:r>
    </w:p>
    <w:p w14:paraId="2D1C3337">
      <w:pPr>
        <w:wordWrap w:val="0"/>
        <w:adjustRightInd w:val="0"/>
        <w:snapToGrid w:val="0"/>
        <w:spacing w:line="360" w:lineRule="auto"/>
        <w:jc w:val="left"/>
        <w:rPr>
          <w:rFonts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t>（以下无正文）</w:t>
      </w:r>
    </w:p>
    <w:p w14:paraId="3620AB3C">
      <w:pPr>
        <w:widowControl/>
        <w:wordWrap w:val="0"/>
        <w:adjustRightInd w:val="0"/>
        <w:snapToGrid w:val="0"/>
        <w:spacing w:line="360" w:lineRule="auto"/>
        <w:jc w:val="left"/>
        <w:rPr>
          <w:rFonts w:asciiTheme="minorEastAsia" w:hAnsiTheme="minorEastAsia" w:eastAsiaTheme="minorEastAsia" w:cstheme="minorEastAsia"/>
          <w:bCs/>
          <w:snapToGrid w:val="0"/>
          <w:kern w:val="4"/>
          <w:sz w:val="24"/>
          <w:highlight w:val="none"/>
          <w:u w:color="000000"/>
        </w:rPr>
      </w:pPr>
    </w:p>
    <w:p w14:paraId="3FF8E98C">
      <w:pPr>
        <w:widowControl/>
        <w:wordWrap w:val="0"/>
        <w:adjustRightInd w:val="0"/>
        <w:snapToGrid w:val="0"/>
        <w:spacing w:line="360" w:lineRule="auto"/>
        <w:jc w:val="left"/>
        <w:rPr>
          <w:rFonts w:asciiTheme="minorEastAsia" w:hAnsiTheme="minorEastAsia" w:eastAsiaTheme="minorEastAsia" w:cstheme="minorEastAsia"/>
          <w:bCs/>
          <w:snapToGrid w:val="0"/>
          <w:kern w:val="4"/>
          <w:sz w:val="24"/>
          <w:highlight w:val="none"/>
          <w:u w:color="000000"/>
        </w:rPr>
      </w:pPr>
    </w:p>
    <w:p w14:paraId="73CCA755">
      <w:pPr>
        <w:widowControl/>
        <w:wordWrap w:val="0"/>
        <w:adjustRightInd w:val="0"/>
        <w:snapToGrid w:val="0"/>
        <w:spacing w:line="360" w:lineRule="auto"/>
        <w:jc w:val="left"/>
        <w:rPr>
          <w:rFonts w:asciiTheme="minorEastAsia" w:hAnsiTheme="minorEastAsia" w:eastAsiaTheme="minorEastAsia" w:cstheme="minorEastAsia"/>
          <w:bCs/>
          <w:snapToGrid w:val="0"/>
          <w:kern w:val="4"/>
          <w:sz w:val="24"/>
          <w:highlight w:val="none"/>
          <w:u w:color="000000"/>
        </w:rPr>
      </w:pPr>
    </w:p>
    <w:p w14:paraId="04F08C6D">
      <w:pPr>
        <w:widowControl/>
        <w:wordWrap w:val="0"/>
        <w:adjustRightInd w:val="0"/>
        <w:snapToGrid w:val="0"/>
        <w:spacing w:line="360" w:lineRule="auto"/>
        <w:jc w:val="left"/>
        <w:rPr>
          <w:rFonts w:asciiTheme="minorEastAsia" w:hAnsiTheme="minorEastAsia" w:eastAsiaTheme="minorEastAsia" w:cstheme="minorEastAsia"/>
          <w:bCs/>
          <w:snapToGrid w:val="0"/>
          <w:kern w:val="4"/>
          <w:sz w:val="24"/>
          <w:highlight w:val="none"/>
          <w:u w:color="000000"/>
        </w:rPr>
      </w:pPr>
    </w:p>
    <w:p w14:paraId="39DB4EEE">
      <w:pPr>
        <w:widowControl/>
        <w:wordWrap w:val="0"/>
        <w:adjustRightInd w:val="0"/>
        <w:snapToGrid w:val="0"/>
        <w:spacing w:line="360" w:lineRule="auto"/>
        <w:jc w:val="left"/>
        <w:rPr>
          <w:rFonts w:asciiTheme="minorEastAsia" w:hAnsiTheme="minorEastAsia" w:eastAsiaTheme="minorEastAsia" w:cstheme="minorEastAsia"/>
          <w:bCs/>
          <w:snapToGrid w:val="0"/>
          <w:kern w:val="4"/>
          <w:sz w:val="24"/>
          <w:highlight w:val="none"/>
          <w:u w:color="000000"/>
        </w:rPr>
      </w:pPr>
    </w:p>
    <w:p w14:paraId="6B7A9427">
      <w:pPr>
        <w:rPr>
          <w:rFonts w:hint="eastAsia" w:asciiTheme="minorEastAsia" w:hAnsiTheme="minorEastAsia" w:eastAsiaTheme="minorEastAsia" w:cstheme="minorEastAsia"/>
          <w:bCs/>
          <w:snapToGrid w:val="0"/>
          <w:kern w:val="4"/>
          <w:sz w:val="24"/>
          <w:highlight w:val="none"/>
          <w:u w:color="000000"/>
        </w:rPr>
      </w:pPr>
      <w:r>
        <w:rPr>
          <w:rFonts w:hint="eastAsia" w:asciiTheme="minorEastAsia" w:hAnsiTheme="minorEastAsia" w:eastAsiaTheme="minorEastAsia" w:cstheme="minorEastAsia"/>
          <w:bCs/>
          <w:snapToGrid w:val="0"/>
          <w:kern w:val="4"/>
          <w:sz w:val="24"/>
          <w:highlight w:val="none"/>
          <w:u w:color="000000"/>
        </w:rPr>
        <w:br w:type="page"/>
      </w:r>
    </w:p>
    <w:p w14:paraId="04DA8139">
      <w:pPr>
        <w:spacing w:line="360" w:lineRule="auto"/>
        <w:ind w:firstLine="480" w:firstLineChars="200"/>
        <w:rPr>
          <w:rFonts w:hint="eastAsia" w:ascii="宋体" w:hAnsi="宋体" w:eastAsia="宋体" w:cs="宋体"/>
          <w:sz w:val="24"/>
        </w:rPr>
      </w:pPr>
      <w:r>
        <w:rPr>
          <w:rFonts w:hint="eastAsia" w:ascii="宋体" w:hAnsi="宋体" w:eastAsia="宋体" w:cs="宋体"/>
          <w:sz w:val="24"/>
        </w:rPr>
        <w:t>（本页为签字盖章页）</w:t>
      </w:r>
    </w:p>
    <w:p w14:paraId="22B56EDB">
      <w:pPr>
        <w:spacing w:line="360" w:lineRule="auto"/>
        <w:ind w:firstLine="480" w:firstLineChars="200"/>
        <w:rPr>
          <w:rFonts w:hint="eastAsia" w:ascii="宋体" w:hAnsi="宋体" w:eastAsia="宋体" w:cs="宋体"/>
          <w:sz w:val="24"/>
        </w:rPr>
      </w:pPr>
    </w:p>
    <w:p w14:paraId="1E11B899">
      <w:pPr>
        <w:pStyle w:val="2"/>
        <w:ind w:firstLine="562"/>
        <w:rPr>
          <w:rFonts w:hint="eastAsia" w:ascii="宋体" w:hAnsi="宋体" w:eastAsia="宋体" w:cs="宋体"/>
        </w:rPr>
      </w:pPr>
    </w:p>
    <w:p w14:paraId="14476EC7">
      <w:pPr>
        <w:spacing w:line="360" w:lineRule="auto"/>
        <w:ind w:firstLine="480" w:firstLineChars="200"/>
        <w:rPr>
          <w:rFonts w:hint="eastAsia" w:ascii="宋体" w:hAnsi="宋体" w:eastAsia="宋体" w:cs="宋体"/>
          <w:sz w:val="24"/>
        </w:rPr>
      </w:pPr>
    </w:p>
    <w:p w14:paraId="0551EF34">
      <w:pPr>
        <w:spacing w:line="360" w:lineRule="auto"/>
        <w:ind w:firstLine="480" w:firstLineChars="200"/>
        <w:rPr>
          <w:rFonts w:hint="eastAsia" w:ascii="宋体" w:hAnsi="宋体" w:eastAsia="宋体" w:cs="宋体"/>
          <w:sz w:val="24"/>
        </w:rPr>
      </w:pPr>
      <w:r>
        <w:rPr>
          <w:rFonts w:hint="eastAsia" w:ascii="宋体" w:hAnsi="宋体" w:eastAsia="宋体" w:cs="宋体"/>
          <w:sz w:val="24"/>
        </w:rPr>
        <w:t>甲方（盖章）：</w:t>
      </w:r>
      <w:r>
        <w:rPr>
          <w:rFonts w:hint="eastAsia" w:ascii="宋体" w:hAnsi="宋体" w:eastAsia="宋体" w:cs="宋体"/>
          <w:sz w:val="24"/>
          <w:u w:val="single"/>
        </w:rPr>
        <w:t>江门市新会江睦新能源产业发展有限公司</w:t>
      </w:r>
    </w:p>
    <w:p w14:paraId="66CF3FD0">
      <w:pPr>
        <w:spacing w:line="360" w:lineRule="auto"/>
        <w:ind w:firstLine="480" w:firstLineChars="200"/>
        <w:rPr>
          <w:rFonts w:hint="eastAsia" w:ascii="宋体" w:hAnsi="宋体" w:eastAsia="宋体" w:cs="宋体"/>
          <w:sz w:val="24"/>
        </w:rPr>
      </w:pPr>
      <w:r>
        <w:rPr>
          <w:rFonts w:hint="eastAsia" w:ascii="宋体" w:hAnsi="宋体" w:eastAsia="宋体" w:cs="宋体"/>
          <w:sz w:val="24"/>
        </w:rPr>
        <w:t>法定代表人/或委托代理人（签名）：</w:t>
      </w:r>
    </w:p>
    <w:p w14:paraId="56C65DFC">
      <w:pPr>
        <w:spacing w:line="360" w:lineRule="auto"/>
        <w:ind w:firstLine="480" w:firstLineChars="200"/>
        <w:rPr>
          <w:rFonts w:hint="eastAsia" w:ascii="宋体" w:hAnsi="宋体" w:eastAsia="宋体" w:cs="宋体"/>
          <w:sz w:val="24"/>
        </w:rPr>
      </w:pPr>
      <w:r>
        <w:rPr>
          <w:rFonts w:hint="eastAsia" w:ascii="宋体" w:hAnsi="宋体" w:eastAsia="宋体" w:cs="宋体"/>
          <w:sz w:val="24"/>
        </w:rPr>
        <w:t>联系电话：</w:t>
      </w:r>
    </w:p>
    <w:p w14:paraId="0838D2ED">
      <w:pPr>
        <w:spacing w:line="360" w:lineRule="auto"/>
        <w:ind w:firstLine="480" w:firstLineChars="200"/>
        <w:rPr>
          <w:rFonts w:hint="eastAsia" w:ascii="宋体" w:hAnsi="宋体" w:eastAsia="宋体" w:cs="宋体"/>
          <w:sz w:val="24"/>
        </w:rPr>
      </w:pPr>
    </w:p>
    <w:p w14:paraId="14BA4DBB">
      <w:pPr>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      年      月      日</w:t>
      </w:r>
    </w:p>
    <w:p w14:paraId="680FBCC9">
      <w:pPr>
        <w:spacing w:line="360" w:lineRule="auto"/>
        <w:rPr>
          <w:rFonts w:hint="eastAsia" w:ascii="宋体" w:hAnsi="宋体" w:eastAsia="宋体" w:cs="宋体"/>
          <w:sz w:val="24"/>
        </w:rPr>
      </w:pPr>
    </w:p>
    <w:p w14:paraId="52D2C10F">
      <w:pPr>
        <w:pStyle w:val="2"/>
        <w:ind w:firstLine="482"/>
        <w:rPr>
          <w:rFonts w:hint="eastAsia" w:ascii="宋体" w:hAnsi="宋体" w:eastAsia="宋体" w:cs="宋体"/>
          <w:sz w:val="24"/>
        </w:rPr>
      </w:pPr>
    </w:p>
    <w:p w14:paraId="61EE256F">
      <w:pPr>
        <w:rPr>
          <w:rFonts w:hint="eastAsia" w:ascii="宋体" w:hAnsi="宋体" w:eastAsia="宋体" w:cs="宋体"/>
          <w:sz w:val="24"/>
        </w:rPr>
      </w:pPr>
    </w:p>
    <w:p w14:paraId="7B7BA5E2">
      <w:pPr>
        <w:pStyle w:val="2"/>
        <w:ind w:firstLine="562"/>
        <w:rPr>
          <w:rFonts w:hint="eastAsia" w:ascii="宋体" w:hAnsi="宋体" w:eastAsia="宋体" w:cs="宋体"/>
        </w:rPr>
      </w:pPr>
    </w:p>
    <w:p w14:paraId="7D0B66C3">
      <w:pPr>
        <w:rPr>
          <w:rFonts w:hint="eastAsia" w:ascii="宋体" w:hAnsi="宋体" w:eastAsia="宋体" w:cs="宋体"/>
        </w:rPr>
      </w:pPr>
    </w:p>
    <w:p w14:paraId="2A4E88D2">
      <w:pPr>
        <w:spacing w:line="360" w:lineRule="auto"/>
        <w:ind w:firstLine="480" w:firstLineChars="200"/>
        <w:rPr>
          <w:rFonts w:hint="eastAsia" w:ascii="宋体" w:hAnsi="宋体" w:eastAsia="宋体" w:cs="宋体"/>
          <w:sz w:val="24"/>
          <w:u w:val="single"/>
          <w:lang w:val="en-US" w:eastAsia="zh-CN"/>
        </w:rPr>
      </w:pPr>
      <w:r>
        <w:rPr>
          <w:rFonts w:hint="eastAsia" w:ascii="宋体" w:hAnsi="宋体" w:eastAsia="宋体" w:cs="宋体"/>
          <w:sz w:val="24"/>
        </w:rPr>
        <w:t>乙方（盖章）：</w:t>
      </w:r>
      <w:r>
        <w:rPr>
          <w:rFonts w:hint="eastAsia" w:ascii="宋体" w:hAnsi="宋体" w:eastAsia="宋体" w:cs="宋体"/>
          <w:sz w:val="24"/>
          <w:u w:val="single"/>
          <w:lang w:val="en-US" w:eastAsia="zh-CN"/>
        </w:rPr>
        <w:t xml:space="preserve">                                      </w:t>
      </w:r>
    </w:p>
    <w:p w14:paraId="381B15C3">
      <w:pPr>
        <w:spacing w:line="360" w:lineRule="auto"/>
        <w:ind w:firstLine="480" w:firstLineChars="200"/>
        <w:rPr>
          <w:rFonts w:hint="eastAsia" w:ascii="宋体" w:hAnsi="宋体" w:eastAsia="宋体" w:cs="宋体"/>
          <w:sz w:val="24"/>
        </w:rPr>
      </w:pPr>
      <w:r>
        <w:rPr>
          <w:rFonts w:hint="eastAsia" w:ascii="宋体" w:hAnsi="宋体" w:eastAsia="宋体" w:cs="宋体"/>
          <w:sz w:val="24"/>
        </w:rPr>
        <w:t>法定代表人/或委托代理人（签名）：</w:t>
      </w:r>
    </w:p>
    <w:p w14:paraId="30997A9D">
      <w:pPr>
        <w:spacing w:line="360" w:lineRule="auto"/>
        <w:ind w:firstLine="480" w:firstLineChars="200"/>
        <w:rPr>
          <w:rFonts w:hint="eastAsia" w:ascii="宋体" w:hAnsi="宋体" w:eastAsia="宋体" w:cs="宋体"/>
          <w:sz w:val="24"/>
        </w:rPr>
      </w:pPr>
      <w:r>
        <w:rPr>
          <w:rFonts w:hint="eastAsia" w:ascii="宋体" w:hAnsi="宋体" w:eastAsia="宋体" w:cs="宋体"/>
          <w:sz w:val="24"/>
        </w:rPr>
        <w:t>联系电话：</w:t>
      </w:r>
    </w:p>
    <w:p w14:paraId="286A3AE3">
      <w:pPr>
        <w:spacing w:line="360" w:lineRule="auto"/>
        <w:ind w:firstLine="480" w:firstLineChars="200"/>
        <w:rPr>
          <w:rFonts w:hint="eastAsia" w:ascii="宋体" w:hAnsi="宋体" w:eastAsia="宋体" w:cs="宋体"/>
          <w:sz w:val="24"/>
        </w:rPr>
      </w:pPr>
    </w:p>
    <w:p w14:paraId="66CA4E75">
      <w:pPr>
        <w:spacing w:line="360" w:lineRule="auto"/>
        <w:ind w:firstLine="1200" w:firstLineChars="500"/>
        <w:rPr>
          <w:rFonts w:hint="eastAsia" w:ascii="宋体" w:hAnsi="宋体" w:eastAsia="宋体" w:cs="宋体"/>
          <w:sz w:val="24"/>
        </w:rPr>
      </w:pPr>
      <w:r>
        <w:rPr>
          <w:rFonts w:hint="eastAsia" w:ascii="宋体" w:hAnsi="宋体" w:eastAsia="宋体" w:cs="宋体"/>
          <w:sz w:val="24"/>
        </w:rPr>
        <w:t>年      月      日</w:t>
      </w:r>
    </w:p>
    <w:p w14:paraId="2EA13A43">
      <w:pPr>
        <w:spacing w:line="480" w:lineRule="atLeast"/>
        <w:ind w:right="-81"/>
        <w:jc w:val="center"/>
        <w:outlineLvl w:val="0"/>
        <w:rPr>
          <w:rFonts w:hint="eastAsia" w:ascii="宋体" w:hAnsi="宋体" w:eastAsia="宋体" w:cs="宋体"/>
          <w:b/>
          <w:bCs/>
          <w:sz w:val="36"/>
          <w:szCs w:val="36"/>
          <w:highlight w:val="none"/>
        </w:rPr>
      </w:pPr>
    </w:p>
    <w:p w14:paraId="436EAF78">
      <w:pPr>
        <w:spacing w:line="480" w:lineRule="atLeast"/>
        <w:ind w:right="-81"/>
        <w:jc w:val="center"/>
        <w:outlineLvl w:val="0"/>
        <w:rPr>
          <w:rFonts w:hint="eastAsia" w:ascii="宋体" w:hAnsi="宋体" w:eastAsia="宋体" w:cs="宋体"/>
          <w:b/>
          <w:bCs/>
          <w:sz w:val="36"/>
          <w:szCs w:val="36"/>
          <w:highlight w:val="none"/>
        </w:rPr>
      </w:pPr>
    </w:p>
    <w:p w14:paraId="41C4D499">
      <w:pPr>
        <w:snapToGrid w:val="0"/>
        <w:spacing w:before="156" w:beforeLines="50" w:after="156" w:afterLines="50" w:line="432" w:lineRule="auto"/>
      </w:pPr>
    </w:p>
    <w:sectPr>
      <w:headerReference r:id="rId5" w:type="default"/>
      <w:footerReference r:id="rId6" w:type="default"/>
      <w:pgSz w:w="11906" w:h="16838"/>
      <w:pgMar w:top="500" w:right="1797" w:bottom="567"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新宋体">
    <w:panose1 w:val="02010609030101010101"/>
    <w:charset w:val="86"/>
    <w:family w:val="modern"/>
    <w:pitch w:val="default"/>
    <w:sig w:usb0="00000283" w:usb1="288F0000" w:usb2="00000006" w:usb3="00000000" w:csb0="00040001" w:csb1="00000000"/>
  </w:font>
  <w:font w:name="楷体">
    <w:panose1 w:val="02010609060101010101"/>
    <w:charset w:val="86"/>
    <w:family w:val="modern"/>
    <w:pitch w:val="default"/>
    <w:sig w:usb0="800002BF" w:usb1="38CF7CFA" w:usb2="00000016" w:usb3="00000000" w:csb0="00040001" w:csb1="00000000"/>
    <w:embedRegular r:id="rId1" w:fontKey="{D1A56734-E5C9-4BC5-82EB-29708C97803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A518F">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E33DC72">
                          <w:pPr>
                            <w:pStyle w:val="8"/>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0E33DC72">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2E33C5B0">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D1FDD">
    <w:pPr>
      <w:pStyle w:val="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06D0573">
                          <w:pPr>
                            <w:pStyle w:val="8"/>
                          </w:pPr>
                          <w:r>
                            <w:fldChar w:fldCharType="begin"/>
                          </w:r>
                          <w:r>
                            <w:instrText xml:space="preserve"> PAGE  \* MERGEFORMAT </w:instrText>
                          </w:r>
                          <w:r>
                            <w:fldChar w:fldCharType="separate"/>
                          </w:r>
                          <w:r>
                            <w:t>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406D0573">
                    <w:pPr>
                      <w:pStyle w:val="8"/>
                    </w:pPr>
                    <w:r>
                      <w:fldChar w:fldCharType="begin"/>
                    </w:r>
                    <w:r>
                      <w:instrText xml:space="preserve"> PAGE  \* MERGEFORMAT </w:instrText>
                    </w:r>
                    <w:r>
                      <w:fldChar w:fldCharType="separate"/>
                    </w:r>
                    <w:r>
                      <w:t>9</w:t>
                    </w:r>
                    <w:r>
                      <w:fldChar w:fldCharType="end"/>
                    </w:r>
                  </w:p>
                </w:txbxContent>
              </v:textbox>
            </v:shape>
          </w:pict>
        </mc:Fallback>
      </mc:AlternateContent>
    </w:r>
  </w:p>
  <w:p w14:paraId="5DAC5A95">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FA423">
    <w:pPr>
      <w:pStyle w:val="9"/>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239A1">
    <w:pPr>
      <w:pStyle w:val="9"/>
      <w:pBdr>
        <w:top w:val="none" w:color="auto" w:sz="0" w:space="25"/>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lvl>
    <w:lvl w:ilvl="1" w:tentative="0">
      <w:start w:val="1"/>
      <w:numFmt w:val="decimal"/>
      <w:suff w:val="space"/>
      <w:lvlText w:val="%1.%2 "/>
      <w:lvlJc w:val="left"/>
      <w:pPr>
        <w:ind w:left="794" w:hanging="794"/>
      </w:pPr>
    </w:lvl>
    <w:lvl w:ilvl="2" w:tentative="0">
      <w:start w:val="0"/>
      <w:numFmt w:val="decimal"/>
      <w:lvlText w:val=""/>
      <w:lvlJc w:val="left"/>
    </w:lvl>
    <w:lvl w:ilvl="3" w:tentative="0">
      <w:start w:val="0"/>
      <w:numFmt w:val="decimal"/>
      <w:lvlText w:val=""/>
      <w:lvlJc w:val="left"/>
    </w:lvl>
    <w:lvl w:ilvl="4" w:tentative="0">
      <w:start w:val="0"/>
      <w:numFmt w:val="decimal"/>
      <w:pStyle w:val="15"/>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ZDUzOWY1N2NjYWQyYTZmZGI1N2E2NWYyZTg0MDcifQ=="/>
  </w:docVars>
  <w:rsids>
    <w:rsidRoot w:val="00947BC2"/>
    <w:rsid w:val="002F5D7B"/>
    <w:rsid w:val="00695BD8"/>
    <w:rsid w:val="0077239B"/>
    <w:rsid w:val="00817488"/>
    <w:rsid w:val="00947BC2"/>
    <w:rsid w:val="009E127A"/>
    <w:rsid w:val="015D647A"/>
    <w:rsid w:val="04005CFB"/>
    <w:rsid w:val="062D6E1D"/>
    <w:rsid w:val="0C057BD8"/>
    <w:rsid w:val="0E3D28DA"/>
    <w:rsid w:val="110D6BDE"/>
    <w:rsid w:val="111868EB"/>
    <w:rsid w:val="123537E3"/>
    <w:rsid w:val="19D11621"/>
    <w:rsid w:val="1A417D7C"/>
    <w:rsid w:val="1BBD2F92"/>
    <w:rsid w:val="1DC865D7"/>
    <w:rsid w:val="1E062A07"/>
    <w:rsid w:val="1F1D2DC5"/>
    <w:rsid w:val="21932F9C"/>
    <w:rsid w:val="221D3838"/>
    <w:rsid w:val="25E239C3"/>
    <w:rsid w:val="26DC35DF"/>
    <w:rsid w:val="27AF3C02"/>
    <w:rsid w:val="27C871AC"/>
    <w:rsid w:val="2B3504C0"/>
    <w:rsid w:val="2D3B6A44"/>
    <w:rsid w:val="2DC35A21"/>
    <w:rsid w:val="300916B0"/>
    <w:rsid w:val="33681E65"/>
    <w:rsid w:val="34FB4BD8"/>
    <w:rsid w:val="41B867E2"/>
    <w:rsid w:val="4AB617C9"/>
    <w:rsid w:val="4FCF5B12"/>
    <w:rsid w:val="507A5D1F"/>
    <w:rsid w:val="50DD6B11"/>
    <w:rsid w:val="516C13DD"/>
    <w:rsid w:val="53513561"/>
    <w:rsid w:val="55782AF7"/>
    <w:rsid w:val="55864EFD"/>
    <w:rsid w:val="58CA1F43"/>
    <w:rsid w:val="59003716"/>
    <w:rsid w:val="5D457201"/>
    <w:rsid w:val="5E3B4DAD"/>
    <w:rsid w:val="5E9B311C"/>
    <w:rsid w:val="62B461C3"/>
    <w:rsid w:val="654F297D"/>
    <w:rsid w:val="68E9483C"/>
    <w:rsid w:val="6C050214"/>
    <w:rsid w:val="6D126663"/>
    <w:rsid w:val="6D443A69"/>
    <w:rsid w:val="7319779D"/>
    <w:rsid w:val="75461959"/>
    <w:rsid w:val="78294E44"/>
    <w:rsid w:val="7B046485"/>
    <w:rsid w:val="7B352F46"/>
    <w:rsid w:val="7BA33E3A"/>
    <w:rsid w:val="7BB76462"/>
    <w:rsid w:val="7C1418B9"/>
    <w:rsid w:val="7C950273"/>
    <w:rsid w:val="7FC05D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paragraph" w:styleId="3">
    <w:name w:val="heading 1"/>
    <w:basedOn w:val="1"/>
    <w:next w:val="1"/>
    <w:link w:val="24"/>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pPr>
      <w:adjustRightInd w:val="0"/>
      <w:spacing w:line="360" w:lineRule="auto"/>
    </w:pPr>
    <w:rPr>
      <w:rFonts w:ascii="Times" w:hAnsi="Times"/>
      <w:sz w:val="18"/>
      <w:szCs w:val="20"/>
    </w:rPr>
  </w:style>
  <w:style w:type="paragraph" w:styleId="6">
    <w:name w:val="Body Text Indent"/>
    <w:basedOn w:val="5"/>
    <w:next w:val="1"/>
    <w:qFormat/>
    <w:uiPriority w:val="0"/>
    <w:pPr>
      <w:autoSpaceDE w:val="0"/>
      <w:autoSpaceDN w:val="0"/>
      <w:adjustRightInd w:val="0"/>
      <w:spacing w:line="480" w:lineRule="exact"/>
      <w:ind w:left="850" w:hanging="249"/>
      <w:textAlignment w:val="baseline"/>
    </w:pPr>
    <w:rPr>
      <w:kern w:val="0"/>
    </w:rPr>
  </w:style>
  <w:style w:type="paragraph" w:styleId="7">
    <w:name w:val="Body Text Indent 2"/>
    <w:basedOn w:val="1"/>
    <w:unhideWhenUsed/>
    <w:qFormat/>
    <w:uiPriority w:val="99"/>
    <w:pPr>
      <w:snapToGrid w:val="0"/>
      <w:spacing w:line="300" w:lineRule="auto"/>
      <w:ind w:left="1050"/>
    </w:pPr>
    <w:rPr>
      <w:rFonts w:ascii="新宋体" w:hAnsi="新宋体" w:eastAsia="新宋体" w:cs="Times New Roman"/>
      <w:spacing w:val="10"/>
      <w:sz w:val="28"/>
      <w:szCs w:val="20"/>
    </w:rPr>
  </w:style>
  <w:style w:type="paragraph" w:styleId="8">
    <w:name w:val="footer"/>
    <w:basedOn w:val="1"/>
    <w:qFormat/>
    <w:uiPriority w:val="0"/>
    <w:pPr>
      <w:tabs>
        <w:tab w:val="center" w:pos="4153"/>
        <w:tab w:val="right" w:pos="8306"/>
      </w:tabs>
      <w:snapToGrid w:val="0"/>
      <w:jc w:val="left"/>
    </w:pPr>
    <w:rPr>
      <w:rFonts w:eastAsia="宋体"/>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0">
    <w:name w:val="Body Text First Indent 2"/>
    <w:basedOn w:val="6"/>
    <w:next w:val="1"/>
    <w:qFormat/>
    <w:uiPriority w:val="0"/>
    <w:pPr>
      <w:autoSpaceDE/>
      <w:autoSpaceDN/>
      <w:adjustRightInd/>
      <w:spacing w:after="120" w:line="240" w:lineRule="auto"/>
      <w:ind w:left="420" w:leftChars="200" w:firstLine="420" w:firstLineChars="200"/>
      <w:textAlignment w:val="auto"/>
    </w:pPr>
    <w:rPr>
      <w:kern w:val="2"/>
      <w:sz w:val="21"/>
      <w:szCs w:val="24"/>
    </w:rPr>
  </w:style>
  <w:style w:type="character" w:styleId="13">
    <w:name w:val="Strong"/>
    <w:basedOn w:val="12"/>
    <w:qFormat/>
    <w:uiPriority w:val="0"/>
    <w:rPr>
      <w:b/>
    </w:rPr>
  </w:style>
  <w:style w:type="paragraph" w:customStyle="1" w:styleId="14">
    <w:name w:val="正文 首行缩进:  2 字符"/>
    <w:basedOn w:val="1"/>
    <w:qFormat/>
    <w:uiPriority w:val="0"/>
    <w:pPr>
      <w:adjustRightInd w:val="0"/>
      <w:ind w:firstLine="579" w:firstLineChars="200"/>
      <w:jc w:val="left"/>
      <w:textAlignment w:val="baseline"/>
    </w:pPr>
    <w:rPr>
      <w:rFonts w:cs="宋体"/>
      <w:sz w:val="28"/>
    </w:rPr>
  </w:style>
  <w:style w:type="paragraph" w:customStyle="1" w:styleId="15">
    <w:name w:val="标题 5（有编号）（绿盟科技）"/>
    <w:basedOn w:val="1"/>
    <w:next w:val="16"/>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16">
    <w:name w:val="正文（绿盟科技）"/>
    <w:qFormat/>
    <w:uiPriority w:val="0"/>
    <w:pPr>
      <w:spacing w:line="300" w:lineRule="auto"/>
    </w:pPr>
    <w:rPr>
      <w:rFonts w:ascii="Arial" w:hAnsi="Arial" w:eastAsia="宋体" w:cs="Times New Roman"/>
      <w:sz w:val="21"/>
      <w:szCs w:val="21"/>
      <w:lang w:val="en-US" w:eastAsia="zh-CN" w:bidi="ar-SA"/>
    </w:rPr>
  </w:style>
  <w:style w:type="table" w:customStyle="1" w:styleId="17">
    <w:name w:val="网格型1"/>
    <w:basedOn w:val="11"/>
    <w:qFormat/>
    <w:uiPriority w:val="39"/>
    <w:rPr>
      <w:kern w:val="2"/>
      <w:sz w:val="21"/>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Default"/>
    <w:basedOn w:val="19"/>
    <w:next w:val="20"/>
    <w:qFormat/>
    <w:uiPriority w:val="0"/>
    <w:pPr>
      <w:widowControl w:val="0"/>
      <w:autoSpaceDE w:val="0"/>
      <w:autoSpaceDN w:val="0"/>
      <w:adjustRightInd w:val="0"/>
    </w:pPr>
    <w:rPr>
      <w:rFonts w:ascii="宋体" w:hAnsi="宋体"/>
      <w:color w:val="000000"/>
      <w:sz w:val="24"/>
      <w:lang w:val="en-US" w:eastAsia="zh-CN" w:bidi="ar-SA"/>
    </w:rPr>
  </w:style>
  <w:style w:type="paragraph" w:customStyle="1" w:styleId="19">
    <w:name w:val="纯文本1"/>
    <w:basedOn w:val="1"/>
    <w:qFormat/>
    <w:uiPriority w:val="0"/>
    <w:pPr>
      <w:adjustRightInd w:val="0"/>
    </w:pPr>
    <w:rPr>
      <w:rFonts w:ascii="宋体" w:hAnsi="Courier New"/>
    </w:rPr>
  </w:style>
  <w:style w:type="paragraph" w:customStyle="1" w:styleId="20">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21">
    <w:name w:val="Table Paragraph"/>
    <w:basedOn w:val="1"/>
    <w:qFormat/>
    <w:uiPriority w:val="1"/>
  </w:style>
  <w:style w:type="character" w:customStyle="1" w:styleId="22">
    <w:name w:val="font31"/>
    <w:basedOn w:val="12"/>
    <w:qFormat/>
    <w:uiPriority w:val="0"/>
    <w:rPr>
      <w:rFonts w:hint="eastAsia" w:ascii="宋体" w:hAnsi="宋体" w:eastAsia="宋体" w:cs="宋体"/>
      <w:color w:val="000000"/>
      <w:sz w:val="24"/>
      <w:szCs w:val="24"/>
      <w:u w:val="none"/>
    </w:rPr>
  </w:style>
  <w:style w:type="character" w:customStyle="1" w:styleId="23">
    <w:name w:val="font61"/>
    <w:basedOn w:val="12"/>
    <w:qFormat/>
    <w:uiPriority w:val="0"/>
    <w:rPr>
      <w:rFonts w:ascii="Calibri" w:hAnsi="Calibri" w:cs="Calibri"/>
      <w:color w:val="000000"/>
      <w:sz w:val="24"/>
      <w:szCs w:val="24"/>
      <w:u w:val="none"/>
    </w:rPr>
  </w:style>
  <w:style w:type="character" w:customStyle="1" w:styleId="24">
    <w:name w:val="标题 1 字符"/>
    <w:link w:val="3"/>
    <w:qFormat/>
    <w:uiPriority w:val="0"/>
    <w:rPr>
      <w:rFonts w:hint="eastAsia" w:ascii="宋体" w:hAnsi="宋体" w:eastAsia="宋体" w:cs="宋体"/>
      <w:b/>
      <w:bCs/>
      <w:kern w:val="44"/>
      <w:sz w:val="48"/>
      <w:szCs w:val="48"/>
      <w:lang w:val="en-US" w:eastAsia="zh-CN" w:bidi="ar"/>
    </w:rPr>
  </w:style>
  <w:style w:type="character" w:customStyle="1" w:styleId="25">
    <w:name w:val="font01"/>
    <w:qFormat/>
    <w:uiPriority w:val="0"/>
    <w:rPr>
      <w:rFonts w:hint="eastAsia" w:ascii="宋体" w:hAnsi="宋体" w:eastAsia="宋体" w:cs="宋体"/>
      <w:color w:val="000000"/>
      <w:sz w:val="21"/>
      <w:szCs w:val="21"/>
      <w:u w:val="none"/>
    </w:rPr>
  </w:style>
  <w:style w:type="character" w:customStyle="1" w:styleId="26">
    <w:name w:val="font21"/>
    <w:basedOn w:val="1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2430</Words>
  <Characters>2500</Characters>
  <Lines>17</Lines>
  <Paragraphs>4</Paragraphs>
  <TotalTime>3</TotalTime>
  <ScaleCrop>false</ScaleCrop>
  <LinksUpToDate>false</LinksUpToDate>
  <CharactersWithSpaces>2788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2024-07-26T08:39:00Z</dcterms:created>
  <dc:creator>HP</dc:creator>
  <cp:lastModifiedBy>VictorChung</cp:lastModifiedBy>
  <cp:lastPrinted>2026-05-15T09:01:00Z</cp:lastPrinted>
  <dcterms:modified xsi:type="dcterms:W3CDTF">2026-06-29T08:50:40Z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F9E400BCD85E448DAE28B7A0CE2FF11D_13</vt:lpwstr>
  </property>
  <property fmtid="{D5CDD505-2E9C-101B-9397-08002B2CF9AE}" pid="4" name="KSOTemplateDocerSaveRecord">
    <vt:lpwstr>eyJoZGlkIjoiMmVkNmJhZWFlNjRlNjI2MDY1N2U2MDZjMWMyNzk5NjQiLCJ1c2VySWQiOiIyMzU1MDkwMzkifQ==</vt:lpwstr>
  </property>
</Properties>
</file>