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b/>
          <w:bCs/>
          <w:sz w:val="44"/>
          <w:szCs w:val="44"/>
        </w:rPr>
      </w:pPr>
      <w:r>
        <w:rPr>
          <w:rFonts w:hint="eastAsia" w:asciiTheme="majorEastAsia" w:hAnsiTheme="majorEastAsia" w:eastAsiaTheme="majorEastAsia"/>
          <w:b/>
          <w:bCs/>
          <w:sz w:val="44"/>
          <w:szCs w:val="44"/>
        </w:rPr>
        <w:t>江门市银湖湾滨海新区简介</w:t>
      </w:r>
    </w:p>
    <w:p>
      <w:pPr>
        <w:rPr>
          <w:rFonts w:ascii="仿宋" w:hAnsi="仿宋" w:eastAsia="仿宋"/>
          <w:bCs/>
          <w:sz w:val="32"/>
          <w:szCs w:val="32"/>
        </w:rPr>
      </w:pPr>
    </w:p>
    <w:p>
      <w:pPr>
        <w:ind w:firstLine="640" w:firstLineChars="200"/>
        <w:rPr>
          <w:rFonts w:ascii="仿宋" w:hAnsi="仿宋" w:eastAsia="仿宋"/>
          <w:bCs/>
          <w:sz w:val="32"/>
          <w:szCs w:val="32"/>
        </w:rPr>
      </w:pPr>
      <w:r>
        <w:rPr>
          <w:rFonts w:hint="eastAsia" w:ascii="仿宋" w:hAnsi="仿宋" w:eastAsia="仿宋"/>
          <w:bCs/>
          <w:sz w:val="32"/>
          <w:szCs w:val="32"/>
        </w:rPr>
        <w:t>江门市银湖湾滨海新区位于江门市新会区东南部，控制区面积约340平方公里，包括新会银湖湾的围垦区以及崖门、古井、沙堆三个镇的部分区域。西面是古兜山脉（与台山市交界），南面是黄茅海，北面与崖门、古井和沙堆镇相连，东面与珠海的斗门区隔海相望。银湖湾滨海新区将打造为</w:t>
      </w:r>
      <w:r>
        <w:rPr>
          <w:rFonts w:hint="eastAsia" w:ascii="仿宋" w:hAnsi="仿宋" w:eastAsia="仿宋" w:cs="Times New Roman"/>
          <w:bCs/>
          <w:sz w:val="32"/>
          <w:szCs w:val="32"/>
        </w:rPr>
        <w:t>内地与港澳融合发展示范区、大湾区高质量发展新的增长极、高水平区域协同发展新样板、江门滨海绿色智慧新城，担当江门投身粤港澳大湾区建设的排头兵和主战场，为奋力打造珠江西岸新增长极和沿海经济带江海门户贡献力量。</w:t>
      </w:r>
    </w:p>
    <w:p>
      <w:pPr>
        <w:ind w:firstLine="643" w:firstLineChars="200"/>
        <w:rPr>
          <w:rFonts w:ascii="仿宋" w:hAnsi="仿宋" w:eastAsia="仿宋"/>
          <w:b/>
          <w:sz w:val="32"/>
          <w:szCs w:val="32"/>
        </w:rPr>
      </w:pPr>
      <w:r>
        <w:rPr>
          <w:rFonts w:hint="eastAsia" w:ascii="仿宋" w:hAnsi="仿宋" w:eastAsia="仿宋"/>
          <w:b/>
          <w:sz w:val="32"/>
          <w:szCs w:val="32"/>
        </w:rPr>
        <w:t>一、发展定位</w:t>
      </w:r>
    </w:p>
    <w:p>
      <w:pPr>
        <w:ind w:firstLine="640" w:firstLineChars="200"/>
        <w:rPr>
          <w:rFonts w:ascii="仿宋" w:hAnsi="仿宋" w:eastAsia="仿宋"/>
          <w:bCs/>
          <w:sz w:val="32"/>
          <w:szCs w:val="32"/>
        </w:rPr>
      </w:pPr>
      <w:r>
        <w:rPr>
          <w:rFonts w:hint="eastAsia" w:ascii="仿宋" w:hAnsi="仿宋" w:eastAsia="仿宋"/>
          <w:bCs/>
          <w:sz w:val="32"/>
          <w:szCs w:val="32"/>
        </w:rPr>
        <w:t>2019年2月，中共中央、国务院正式公布《粤港澳大湾区发展规划纲要》，明确要求“加快江门银湖湾滨海地区开发，形成国际节能环保产业集聚地以及面向港澳居民和世界华侨华人的引资引智创业创新平台”。</w:t>
      </w:r>
    </w:p>
    <w:p>
      <w:pPr>
        <w:ind w:firstLine="640" w:firstLineChars="200"/>
        <w:rPr>
          <w:rFonts w:ascii="仿宋" w:hAnsi="仿宋" w:eastAsia="仿宋"/>
          <w:bCs/>
          <w:sz w:val="32"/>
          <w:szCs w:val="32"/>
        </w:rPr>
      </w:pPr>
      <w:r>
        <w:rPr>
          <w:rFonts w:hint="eastAsia" w:ascii="仿宋" w:hAnsi="仿宋" w:eastAsia="仿宋"/>
          <w:bCs/>
          <w:sz w:val="32"/>
          <w:szCs w:val="32"/>
        </w:rPr>
        <w:t>2017年10月，广东省人民政府印发的《广东省沿海经济带综合发展规划（2017-2030年）》中，提出“江门银湖湾滨海新城要打造粤港澳大湾区海洋经济合作的重要平台和国际化滨海新城”。</w:t>
      </w:r>
    </w:p>
    <w:p>
      <w:pPr>
        <w:ind w:firstLine="640" w:firstLineChars="200"/>
        <w:rPr>
          <w:rFonts w:ascii="仿宋" w:hAnsi="仿宋" w:eastAsia="仿宋"/>
          <w:bCs/>
          <w:sz w:val="32"/>
          <w:szCs w:val="32"/>
        </w:rPr>
      </w:pPr>
      <w:r>
        <w:rPr>
          <w:rFonts w:hint="eastAsia" w:ascii="仿宋" w:hAnsi="仿宋" w:eastAsia="仿宋"/>
          <w:bCs/>
          <w:sz w:val="32"/>
          <w:szCs w:val="32"/>
        </w:rPr>
        <w:t>2019年7月，省委和省政府印发了《关于构建“一核一带一区”区域发展新格局促进全省区域协调发展的意见》，提出打造“一核一带一区”发展战略，银湖湾滨海新区刚好位于“一核”和“一带”的共振区域，战略地位尤为特殊。</w:t>
      </w:r>
    </w:p>
    <w:p>
      <w:pPr>
        <w:ind w:firstLine="640" w:firstLineChars="200"/>
        <w:rPr>
          <w:rFonts w:ascii="仿宋" w:hAnsi="仿宋" w:eastAsia="仿宋"/>
          <w:bCs/>
          <w:sz w:val="32"/>
          <w:szCs w:val="32"/>
        </w:rPr>
      </w:pPr>
      <w:r>
        <w:rPr>
          <w:rFonts w:hint="eastAsia" w:ascii="仿宋" w:hAnsi="仿宋" w:eastAsia="仿宋"/>
          <w:bCs/>
          <w:sz w:val="32"/>
          <w:szCs w:val="32"/>
        </w:rPr>
        <w:t>2019年6月，中共江门市委印发《关于打造珠江西岸新增长极和沿海经济带上的江海门户的决定》，明确“加快银湖湾滨海地区开发，深化探索与澳门共建粤澳新型合作平台，推进粤澳（江门）产业合作示范区建设，打造国际节能环保产业集聚地。”</w:t>
      </w:r>
    </w:p>
    <w:p>
      <w:pPr>
        <w:ind w:firstLine="640" w:firstLineChars="200"/>
        <w:rPr>
          <w:rFonts w:ascii="仿宋" w:hAnsi="仿宋" w:eastAsia="仿宋"/>
          <w:sz w:val="32"/>
          <w:szCs w:val="32"/>
        </w:rPr>
      </w:pPr>
      <w:r>
        <w:rPr>
          <w:rFonts w:hint="eastAsia" w:ascii="仿宋" w:hAnsi="仿宋" w:eastAsia="仿宋"/>
          <w:bCs/>
          <w:sz w:val="32"/>
          <w:szCs w:val="32"/>
        </w:rPr>
        <w:t>由此可见，银湖湾滨海新区</w:t>
      </w:r>
      <w:r>
        <w:rPr>
          <w:rFonts w:hint="eastAsia" w:ascii="仿宋" w:hAnsi="仿宋" w:eastAsia="仿宋"/>
          <w:sz w:val="32"/>
          <w:szCs w:val="32"/>
        </w:rPr>
        <w:t>是江门全面融入粤港澳大湾区城市群的重要发展平台，是江门接受港澳经济圈辐射的第一腹地和最具发展潜力的区域。</w:t>
      </w:r>
    </w:p>
    <w:p>
      <w:pPr>
        <w:ind w:firstLine="643" w:firstLineChars="200"/>
        <w:rPr>
          <w:rFonts w:ascii="仿宋" w:hAnsi="仿宋" w:eastAsia="仿宋"/>
          <w:b/>
          <w:sz w:val="32"/>
          <w:szCs w:val="32"/>
        </w:rPr>
      </w:pPr>
      <w:r>
        <w:rPr>
          <w:rFonts w:hint="eastAsia" w:ascii="仿宋" w:hAnsi="仿宋" w:eastAsia="仿宋"/>
          <w:b/>
          <w:sz w:val="32"/>
          <w:szCs w:val="32"/>
        </w:rPr>
        <w:t>二、发展目标</w:t>
      </w:r>
    </w:p>
    <w:p>
      <w:pPr>
        <w:pStyle w:val="22"/>
        <w:ind w:firstLine="680"/>
        <w:rPr>
          <w:rFonts w:ascii="仿宋_GB2312" w:eastAsia="仿宋_GB2312"/>
          <w:sz w:val="34"/>
          <w:szCs w:val="34"/>
        </w:rPr>
      </w:pPr>
      <w:r>
        <w:rPr>
          <w:rFonts w:hint="eastAsia" w:ascii="仿宋_GB2312" w:eastAsia="仿宋_GB2312"/>
          <w:sz w:val="34"/>
          <w:szCs w:val="34"/>
        </w:rPr>
        <w:t>到2025年，滨海新区核心区框架基本成型，基础设施和公共服务体系逐步完善，若干重大产业项目稳步落地，现代产业体系基本建立，江港澳合作不断深化，形成各功能区域统筹建设、协同发展的格局，成为江门高质量发展的新引擎。到2030年，滨海新区滨海绿色智慧新城基本成型，成为粤港澳大湾区珠江口西岸辐射带动力强的重要增长极。到2035年，滨海新区成为国际节能环保产业集聚地以及面向港澳居民和世界华侨华人的引资引智创业创新平台，全面建成粤港澳大湾区现代化滨海新城。</w:t>
      </w:r>
    </w:p>
    <w:p>
      <w:pPr>
        <w:ind w:firstLine="643" w:firstLineChars="200"/>
        <w:rPr>
          <w:rFonts w:ascii="仿宋" w:hAnsi="仿宋" w:eastAsia="仿宋"/>
          <w:b/>
          <w:sz w:val="32"/>
          <w:szCs w:val="32"/>
        </w:rPr>
      </w:pPr>
      <w:r>
        <w:rPr>
          <w:rFonts w:hint="eastAsia" w:ascii="仿宋" w:hAnsi="仿宋" w:eastAsia="仿宋"/>
          <w:b/>
          <w:sz w:val="32"/>
          <w:szCs w:val="32"/>
        </w:rPr>
        <w:t>三、发展平台</w:t>
      </w:r>
    </w:p>
    <w:p>
      <w:pPr>
        <w:ind w:firstLine="640" w:firstLineChars="200"/>
        <w:rPr>
          <w:rFonts w:ascii="仿宋" w:hAnsi="仿宋" w:eastAsia="仿宋"/>
          <w:bCs/>
          <w:sz w:val="32"/>
          <w:szCs w:val="32"/>
        </w:rPr>
      </w:pPr>
      <w:r>
        <w:rPr>
          <w:rFonts w:hint="eastAsia" w:ascii="仿宋" w:hAnsi="仿宋" w:eastAsia="仿宋"/>
          <w:bCs/>
          <w:sz w:val="32"/>
          <w:szCs w:val="32"/>
        </w:rPr>
        <w:t>从空间结构上，银湖湾滨海新区主要包括1个核心区和3个园区共四大发展平台，核心区主要包括银湖湾的围垦区和崖门镇的崖南社区；三个园区包括粤澳（江门）产业合作示范区、珠西新材料集聚区、沙堆金门工业园区。</w:t>
      </w:r>
    </w:p>
    <w:p>
      <w:pPr>
        <w:ind w:firstLine="640" w:firstLineChars="200"/>
        <w:rPr>
          <w:rFonts w:ascii="仿宋" w:hAnsi="仿宋" w:eastAsia="仿宋"/>
          <w:bCs/>
          <w:sz w:val="32"/>
          <w:szCs w:val="32"/>
        </w:rPr>
      </w:pPr>
      <w:r>
        <w:rPr>
          <w:rFonts w:hint="eastAsia" w:ascii="仿宋" w:hAnsi="仿宋" w:eastAsia="仿宋"/>
          <w:bCs/>
          <w:sz w:val="32"/>
          <w:szCs w:val="32"/>
        </w:rPr>
        <w:t>核心区定位为内地与港澳融合发展示范区、大湾区高质量发展新的增长极、高水平区域协同发展新样本、江门高质量滨海产业集聚区，重点打造“江门沿江出海的绿色智慧滨海新城”、对接广深港澳科创走廊的国际科创重大发展平台、澳门—江门跨境合作实验区、江珠合作示范区。现已动工建设项目包括碧海银湖小区项目、新澳重大技术装备创意创业园项目、御泉国际酒店项目、华立学院江门校区等多个项目。</w:t>
      </w:r>
      <w:r>
        <w:rPr>
          <w:rFonts w:hint="eastAsia" w:ascii="仿宋" w:hAnsi="仿宋" w:eastAsia="仿宋"/>
          <w:b/>
          <w:bCs/>
          <w:sz w:val="32"/>
          <w:szCs w:val="32"/>
        </w:rPr>
        <w:t>（注：本次征集名称的七条规划道路均为银湖湾滨海新区核心区的城市道路）</w:t>
      </w:r>
    </w:p>
    <w:p>
      <w:pPr>
        <w:ind w:firstLine="643" w:firstLineChars="200"/>
        <w:rPr>
          <w:rFonts w:ascii="仿宋" w:hAnsi="仿宋" w:eastAsia="仿宋"/>
          <w:b/>
          <w:sz w:val="32"/>
          <w:szCs w:val="32"/>
        </w:rPr>
      </w:pPr>
      <w:r>
        <w:rPr>
          <w:rFonts w:hint="eastAsia" w:ascii="仿宋" w:hAnsi="仿宋" w:eastAsia="仿宋"/>
          <w:b/>
          <w:sz w:val="32"/>
          <w:szCs w:val="32"/>
        </w:rPr>
        <w:t>四、发展优势</w:t>
      </w:r>
    </w:p>
    <w:p>
      <w:pPr>
        <w:ind w:firstLine="640" w:firstLineChars="200"/>
        <w:rPr>
          <w:rFonts w:ascii="仿宋" w:hAnsi="仿宋" w:eastAsia="仿宋"/>
          <w:bCs/>
          <w:sz w:val="32"/>
          <w:szCs w:val="32"/>
        </w:rPr>
      </w:pPr>
      <w:r>
        <w:rPr>
          <w:rFonts w:hint="eastAsia" w:ascii="仿宋" w:hAnsi="仿宋" w:eastAsia="仿宋"/>
          <w:bCs/>
          <w:sz w:val="32"/>
          <w:szCs w:val="32"/>
        </w:rPr>
        <w:t>银湖湾滨海新区区位条件独特，自然条件得天独厚、水陆交通便利、产业基础强、开发强度低，发展空间大。</w:t>
      </w:r>
    </w:p>
    <w:p>
      <w:pPr>
        <w:ind w:firstLine="643" w:firstLineChars="200"/>
        <w:rPr>
          <w:rFonts w:ascii="仿宋" w:hAnsi="仿宋" w:eastAsia="仿宋"/>
          <w:b/>
          <w:sz w:val="32"/>
          <w:szCs w:val="32"/>
        </w:rPr>
      </w:pPr>
      <w:r>
        <w:rPr>
          <w:rFonts w:hint="eastAsia" w:ascii="仿宋" w:hAnsi="仿宋" w:eastAsia="仿宋"/>
          <w:b/>
          <w:sz w:val="32"/>
          <w:szCs w:val="32"/>
        </w:rPr>
        <w:t>（一）交通优势</w:t>
      </w:r>
    </w:p>
    <w:p>
      <w:pPr>
        <w:ind w:firstLine="640" w:firstLineChars="200"/>
        <w:rPr>
          <w:rFonts w:ascii="仿宋" w:hAnsi="仿宋" w:eastAsia="仿宋"/>
          <w:bCs/>
          <w:sz w:val="32"/>
          <w:szCs w:val="32"/>
        </w:rPr>
      </w:pPr>
      <w:r>
        <w:rPr>
          <w:rFonts w:hint="eastAsia" w:ascii="仿宋" w:hAnsi="仿宋" w:eastAsia="仿宋"/>
          <w:bCs/>
          <w:sz w:val="32"/>
          <w:szCs w:val="32"/>
        </w:rPr>
        <w:t>东西方向，西部沿海高速贯穿而过，从崖南出口到港珠澳大桥在珠海的落脚点仅62公里，1小时内可到达澳门，1.5小时内可到达香港；从水路至香港约86海里、到澳门47海里。黄茅海跨海大桥已在2020年6月开工，计划2024年底通车；规划中的跨银洲湖通道（新斗大道和斗珠城轨），建成后将进一步拉近滨海新区与珠、港、澳地区的空间距离。南北方向，滨海新区经银洲湖两岸正在兴建的快速干线——江门大道南东线和南西线直达江门城区，经江珠高速和在建中的银洲湖高速连接江中、江肇、佛开、佛江、中开等高速快速到达珠三角其他城市，到达广州约1.5小时。</w:t>
      </w:r>
    </w:p>
    <w:p>
      <w:pPr>
        <w:ind w:firstLine="640" w:firstLineChars="200"/>
        <w:rPr>
          <w:rFonts w:ascii="仿宋" w:hAnsi="仿宋" w:eastAsia="仿宋"/>
          <w:bCs/>
          <w:sz w:val="32"/>
          <w:szCs w:val="32"/>
        </w:rPr>
      </w:pPr>
      <w:r>
        <w:rPr>
          <w:rFonts w:hint="eastAsia" w:ascii="仿宋" w:hAnsi="仿宋" w:eastAsia="仿宋"/>
          <w:bCs/>
          <w:sz w:val="32"/>
          <w:szCs w:val="32"/>
        </w:rPr>
        <w:t>轨道交通方面，距滨海新区核心区60公里的珠西综合交通枢纽江门站，</w:t>
      </w:r>
      <w:r>
        <w:rPr>
          <w:rFonts w:hint="eastAsia" w:ascii="仿宋" w:hAnsi="仿宋" w:eastAsia="仿宋"/>
          <w:sz w:val="32"/>
          <w:szCs w:val="32"/>
        </w:rPr>
        <w:t>将成为广东省第四大轨道交通枢纽，可直达北京、上海等国内主要城市</w:t>
      </w:r>
      <w:r>
        <w:rPr>
          <w:rFonts w:hint="eastAsia" w:ascii="仿宋" w:hAnsi="仿宋" w:eastAsia="仿宋"/>
          <w:bCs/>
          <w:sz w:val="32"/>
          <w:szCs w:val="32"/>
        </w:rPr>
        <w:t>。</w:t>
      </w:r>
    </w:p>
    <w:p>
      <w:pPr>
        <w:ind w:firstLine="640" w:firstLineChars="200"/>
        <w:rPr>
          <w:rFonts w:ascii="仿宋" w:hAnsi="仿宋" w:eastAsia="仿宋"/>
          <w:b/>
          <w:sz w:val="32"/>
          <w:szCs w:val="32"/>
        </w:rPr>
      </w:pPr>
      <w:r>
        <w:rPr>
          <w:rFonts w:hint="eastAsia" w:ascii="仿宋" w:hAnsi="仿宋" w:eastAsia="仿宋"/>
          <w:bCs/>
          <w:sz w:val="32"/>
          <w:szCs w:val="32"/>
        </w:rPr>
        <w:t>水路交通方面，滨海新区东面连接的崖门水道是珠江八大出海口中可通万吨级船舶的两条出海航道之一，距珠海高栏港33公里，距新会港天马港区35公里。</w:t>
      </w:r>
    </w:p>
    <w:p>
      <w:pPr>
        <w:ind w:firstLine="643" w:firstLineChars="200"/>
        <w:rPr>
          <w:rFonts w:ascii="仿宋" w:hAnsi="仿宋" w:eastAsia="仿宋"/>
          <w:bCs/>
          <w:sz w:val="32"/>
          <w:szCs w:val="32"/>
        </w:rPr>
      </w:pPr>
      <w:r>
        <w:rPr>
          <w:rFonts w:hint="eastAsia" w:ascii="仿宋" w:hAnsi="仿宋" w:eastAsia="仿宋"/>
          <w:b/>
          <w:sz w:val="32"/>
          <w:szCs w:val="32"/>
        </w:rPr>
        <w:t>（二）土地优势</w:t>
      </w:r>
    </w:p>
    <w:p>
      <w:pPr>
        <w:ind w:firstLine="640" w:firstLineChars="200"/>
        <w:rPr>
          <w:rFonts w:ascii="仿宋" w:hAnsi="仿宋" w:eastAsia="仿宋"/>
          <w:bCs/>
          <w:sz w:val="32"/>
          <w:szCs w:val="32"/>
        </w:rPr>
      </w:pPr>
      <w:r>
        <w:rPr>
          <w:rFonts w:hint="eastAsia" w:ascii="仿宋" w:hAnsi="仿宋" w:eastAsia="仿宋"/>
          <w:bCs/>
          <w:sz w:val="32"/>
          <w:szCs w:val="32"/>
        </w:rPr>
        <w:t>银湖湾滨海新区核心区约30平方公里围垦区的土地属于国有，规划建设的可塑性非常强。滨海新城岸线长61公里，未利用岸线约44公里，为新城未来发展留下宝贵岸线资源。</w:t>
      </w:r>
    </w:p>
    <w:p>
      <w:pPr>
        <w:ind w:firstLine="643" w:firstLineChars="200"/>
        <w:rPr>
          <w:rFonts w:ascii="仿宋" w:hAnsi="仿宋" w:eastAsia="仿宋"/>
          <w:b/>
          <w:sz w:val="32"/>
          <w:szCs w:val="32"/>
        </w:rPr>
      </w:pPr>
      <w:r>
        <w:rPr>
          <w:rFonts w:hint="eastAsia" w:ascii="仿宋" w:hAnsi="仿宋" w:eastAsia="仿宋"/>
          <w:b/>
          <w:sz w:val="32"/>
          <w:szCs w:val="32"/>
        </w:rPr>
        <w:t>（三）资源优势</w:t>
      </w:r>
    </w:p>
    <w:p>
      <w:pPr>
        <w:ind w:firstLine="640" w:firstLineChars="200"/>
        <w:rPr>
          <w:rFonts w:ascii="仿宋" w:hAnsi="仿宋" w:eastAsia="仿宋"/>
          <w:bCs/>
          <w:sz w:val="32"/>
          <w:szCs w:val="32"/>
        </w:rPr>
      </w:pPr>
      <w:r>
        <w:rPr>
          <w:rFonts w:hint="eastAsia" w:ascii="仿宋" w:hAnsi="仿宋" w:eastAsia="仿宋"/>
          <w:bCs/>
          <w:sz w:val="32"/>
          <w:szCs w:val="32"/>
        </w:rPr>
        <w:t>银湖湾滨海新区温泉资源丰富，拥有世界罕见的“一地两泉”资源，一种是淡水氡温泉，另一种是海洋咸温泉，非常适宜依托温泉资源打造集休闲、度假、养生、观光、娱乐、商务等为一体的大型综合性度假区。</w:t>
      </w:r>
    </w:p>
    <w:p>
      <w:pPr>
        <w:ind w:firstLine="643" w:firstLineChars="200"/>
        <w:rPr>
          <w:rFonts w:ascii="仿宋" w:hAnsi="仿宋" w:eastAsia="仿宋"/>
          <w:b/>
          <w:sz w:val="32"/>
          <w:szCs w:val="32"/>
        </w:rPr>
      </w:pPr>
      <w:r>
        <w:rPr>
          <w:rFonts w:hint="eastAsia" w:ascii="仿宋" w:hAnsi="仿宋" w:eastAsia="仿宋"/>
          <w:b/>
          <w:sz w:val="32"/>
          <w:szCs w:val="32"/>
        </w:rPr>
        <w:t>五、招商引资项目</w:t>
      </w:r>
    </w:p>
    <w:p>
      <w:pPr>
        <w:ind w:firstLine="640" w:firstLineChars="200"/>
        <w:rPr>
          <w:rFonts w:ascii="仿宋" w:hAnsi="仿宋" w:eastAsia="仿宋"/>
          <w:bCs/>
          <w:sz w:val="32"/>
          <w:szCs w:val="32"/>
        </w:rPr>
      </w:pPr>
      <w:r>
        <w:rPr>
          <w:rFonts w:hint="eastAsia" w:ascii="仿宋" w:hAnsi="仿宋" w:eastAsia="仿宋"/>
          <w:bCs/>
          <w:sz w:val="32"/>
          <w:szCs w:val="32"/>
        </w:rPr>
        <w:t>核心区已引入多个重点项目：</w:t>
      </w:r>
    </w:p>
    <w:p>
      <w:pPr>
        <w:ind w:firstLine="643" w:firstLineChars="200"/>
        <w:rPr>
          <w:rFonts w:ascii="仿宋" w:hAnsi="仿宋" w:eastAsia="仿宋"/>
          <w:bCs/>
          <w:sz w:val="32"/>
          <w:szCs w:val="32"/>
        </w:rPr>
      </w:pPr>
      <w:r>
        <w:rPr>
          <w:rFonts w:hint="eastAsia" w:ascii="仿宋" w:hAnsi="仿宋" w:eastAsia="仿宋"/>
          <w:b/>
          <w:sz w:val="32"/>
          <w:szCs w:val="32"/>
        </w:rPr>
        <w:t>1、</w:t>
      </w:r>
      <w:r>
        <w:rPr>
          <w:rFonts w:hint="eastAsia" w:ascii="仿宋" w:hAnsi="仿宋" w:eastAsia="仿宋"/>
          <w:b/>
          <w:sz w:val="32"/>
          <w:szCs w:val="32"/>
          <w:lang w:eastAsia="zh-CN"/>
        </w:rPr>
        <w:t>世贸</w:t>
      </w:r>
      <w:r>
        <w:rPr>
          <w:rFonts w:hint="eastAsia" w:ascii="仿宋" w:hAnsi="仿宋" w:eastAsia="仿宋"/>
          <w:b/>
          <w:sz w:val="32"/>
          <w:szCs w:val="32"/>
        </w:rPr>
        <w:t>碧海银湖文旅项目</w:t>
      </w:r>
      <w:r>
        <w:rPr>
          <w:rFonts w:hint="eastAsia" w:ascii="仿宋" w:hAnsi="仿宋" w:eastAsia="仿宋"/>
          <w:bCs/>
          <w:sz w:val="32"/>
          <w:szCs w:val="32"/>
        </w:rPr>
        <w:t>：占地面积3500亩，其中建设用地面积2000亩，计划投资120亿元。项目按棕榈岛形状规划，分8期建设，计划打造集旅游休闲度假、文化主题体验、滨海康养旅乐居为一体的高端度假小镇。</w:t>
      </w:r>
    </w:p>
    <w:p>
      <w:pPr>
        <w:rPr>
          <w:rFonts w:ascii="仿宋" w:hAnsi="仿宋" w:eastAsia="仿宋"/>
          <w:bCs/>
          <w:sz w:val="32"/>
          <w:szCs w:val="32"/>
        </w:rPr>
      </w:pPr>
      <w:r>
        <w:rPr>
          <w:rFonts w:hint="eastAsia" w:ascii="仿宋" w:hAnsi="仿宋" w:eastAsia="仿宋"/>
          <w:bCs/>
          <w:sz w:val="32"/>
          <w:szCs w:val="32"/>
        </w:rPr>
        <w:drawing>
          <wp:inline distT="0" distB="0" distL="0" distR="0">
            <wp:extent cx="5274310" cy="32962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296285"/>
                    </a:xfrm>
                    <a:prstGeom prst="rect">
                      <a:avLst/>
                    </a:prstGeom>
                  </pic:spPr>
                </pic:pic>
              </a:graphicData>
            </a:graphic>
          </wp:inline>
        </w:drawing>
      </w:r>
      <w:bookmarkStart w:id="0" w:name="_GoBack"/>
      <w:bookmarkEnd w:id="0"/>
    </w:p>
    <w:p>
      <w:pPr>
        <w:rPr>
          <w:rFonts w:ascii="仿宋" w:hAnsi="仿宋" w:eastAsia="仿宋"/>
          <w:bCs/>
          <w:sz w:val="32"/>
          <w:szCs w:val="32"/>
        </w:rPr>
      </w:pPr>
      <w:r>
        <w:rPr>
          <w:rFonts w:hint="eastAsia" w:ascii="仿宋" w:hAnsi="仿宋" w:eastAsia="仿宋"/>
          <w:bCs/>
          <w:sz w:val="32"/>
          <w:szCs w:val="32"/>
        </w:rPr>
        <w:drawing>
          <wp:inline distT="0" distB="0" distL="0" distR="0">
            <wp:extent cx="5274310" cy="1441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441450"/>
                    </a:xfrm>
                    <a:prstGeom prst="rect">
                      <a:avLst/>
                    </a:prstGeom>
                  </pic:spPr>
                </pic:pic>
              </a:graphicData>
            </a:graphic>
          </wp:inline>
        </w:drawing>
      </w:r>
    </w:p>
    <w:p>
      <w:pPr>
        <w:ind w:firstLine="640" w:firstLineChars="200"/>
        <w:rPr>
          <w:rFonts w:ascii="仿宋" w:hAnsi="仿宋" w:eastAsia="仿宋"/>
          <w:bCs/>
          <w:sz w:val="32"/>
          <w:szCs w:val="32"/>
        </w:rPr>
      </w:pPr>
    </w:p>
    <w:p>
      <w:pPr>
        <w:ind w:firstLine="643" w:firstLineChars="200"/>
        <w:rPr>
          <w:rFonts w:ascii="仿宋" w:hAnsi="仿宋" w:eastAsia="仿宋"/>
          <w:bCs/>
          <w:sz w:val="32"/>
          <w:szCs w:val="32"/>
        </w:rPr>
      </w:pPr>
      <w:r>
        <w:rPr>
          <w:rFonts w:hint="eastAsia" w:ascii="仿宋" w:hAnsi="仿宋" w:eastAsia="仿宋"/>
          <w:b/>
          <w:sz w:val="32"/>
          <w:szCs w:val="32"/>
        </w:rPr>
        <w:t>2、广东工业大学华立学院（江门校区）</w:t>
      </w:r>
      <w:r>
        <w:rPr>
          <w:rFonts w:hint="eastAsia" w:ascii="仿宋" w:hAnsi="仿宋" w:eastAsia="仿宋"/>
          <w:bCs/>
          <w:sz w:val="32"/>
          <w:szCs w:val="32"/>
        </w:rPr>
        <w:t>：项目计划总投资72亿元，项目规划占地约1258亩。整体项目建成后将提供超过4.5万个优质学位。同时，广东工业大学华立学院现有研究机构全部进驻江门。</w:t>
      </w:r>
    </w:p>
    <w:p>
      <w:pPr>
        <w:ind w:firstLine="640" w:firstLineChars="200"/>
        <w:rPr>
          <w:rFonts w:ascii="仿宋" w:hAnsi="仿宋" w:eastAsia="仿宋"/>
          <w:bCs/>
          <w:color w:val="FF0000"/>
          <w:sz w:val="32"/>
          <w:szCs w:val="32"/>
        </w:rPr>
      </w:pPr>
      <w:r>
        <w:rPr>
          <w:rFonts w:ascii="仿宋" w:hAnsi="仿宋" w:eastAsia="仿宋"/>
          <w:bCs/>
          <w:color w:val="FF0000"/>
          <w:sz w:val="32"/>
          <w:szCs w:val="32"/>
        </w:rPr>
        <w:drawing>
          <wp:inline distT="0" distB="0" distL="0" distR="0">
            <wp:extent cx="2333625" cy="2094865"/>
            <wp:effectExtent l="0" t="0" r="0" b="0"/>
            <wp:docPr id="4" name="图片 4" descr="C:\Users\Administrator\Desktop\ji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jia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30496" cy="2092690"/>
                    </a:xfrm>
                    <a:prstGeom prst="rect">
                      <a:avLst/>
                    </a:prstGeom>
                    <a:noFill/>
                    <a:ln>
                      <a:noFill/>
                    </a:ln>
                  </pic:spPr>
                </pic:pic>
              </a:graphicData>
            </a:graphic>
          </wp:inline>
        </w:drawing>
      </w:r>
      <w:r>
        <w:rPr>
          <w:rFonts w:ascii="仿宋" w:hAnsi="仿宋" w:eastAsia="仿宋"/>
          <w:bCs/>
          <w:color w:val="FF0000"/>
          <w:sz w:val="32"/>
          <w:szCs w:val="32"/>
        </w:rPr>
        <w:drawing>
          <wp:inline distT="0" distB="0" distL="0" distR="0">
            <wp:extent cx="2514600" cy="2150110"/>
            <wp:effectExtent l="0" t="0" r="0" b="0"/>
            <wp:docPr id="5" name="图片 5" descr="C:\Users\Administrator\Desktop\华立全景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华立全景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22931" cy="2157274"/>
                    </a:xfrm>
                    <a:prstGeom prst="rect">
                      <a:avLst/>
                    </a:prstGeom>
                    <a:noFill/>
                    <a:ln>
                      <a:noFill/>
                    </a:ln>
                  </pic:spPr>
                </pic:pic>
              </a:graphicData>
            </a:graphic>
          </wp:inline>
        </w:drawing>
      </w:r>
    </w:p>
    <w:p>
      <w:pPr>
        <w:ind w:firstLine="643" w:firstLineChars="200"/>
        <w:rPr>
          <w:rFonts w:hint="eastAsia" w:ascii="仿宋" w:hAnsi="仿宋" w:eastAsia="仿宋"/>
          <w:b/>
          <w:sz w:val="32"/>
          <w:szCs w:val="32"/>
        </w:rPr>
      </w:pPr>
    </w:p>
    <w:p>
      <w:pPr>
        <w:ind w:firstLine="643" w:firstLineChars="200"/>
        <w:rPr>
          <w:rFonts w:ascii="仿宋" w:hAnsi="仿宋" w:eastAsia="仿宋"/>
          <w:bCs/>
          <w:sz w:val="32"/>
          <w:szCs w:val="32"/>
        </w:rPr>
      </w:pPr>
      <w:r>
        <w:rPr>
          <w:rFonts w:hint="eastAsia" w:ascii="仿宋" w:hAnsi="仿宋" w:eastAsia="仿宋"/>
          <w:b/>
          <w:sz w:val="32"/>
          <w:szCs w:val="32"/>
        </w:rPr>
        <w:t>3、新澳重大技术装备创意创业园</w:t>
      </w:r>
      <w:r>
        <w:rPr>
          <w:rFonts w:hint="eastAsia" w:ascii="仿宋" w:hAnsi="仿宋" w:eastAsia="仿宋"/>
          <w:bCs/>
          <w:sz w:val="32"/>
          <w:szCs w:val="32"/>
        </w:rPr>
        <w:t>：用地面积约300亩，计划投资额为20.5亿元，重点开发生物医药的技术研发、产业孵化、科技交流和高端康养等项目。</w:t>
      </w:r>
    </w:p>
    <w:p>
      <w:pPr>
        <w:jc w:val="center"/>
        <w:rPr>
          <w:rFonts w:ascii="仿宋" w:hAnsi="仿宋" w:eastAsia="仿宋"/>
          <w:bCs/>
          <w:sz w:val="32"/>
          <w:szCs w:val="32"/>
        </w:rPr>
      </w:pPr>
      <w:r>
        <w:rPr>
          <w:rFonts w:hint="eastAsia" w:ascii="仿宋" w:hAnsi="仿宋" w:eastAsia="仿宋"/>
          <w:bCs/>
          <w:sz w:val="32"/>
          <w:szCs w:val="32"/>
        </w:rPr>
        <w:drawing>
          <wp:inline distT="0" distB="0" distL="0" distR="0">
            <wp:extent cx="2538095" cy="1692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3564" cy="1695914"/>
                    </a:xfrm>
                    <a:prstGeom prst="rect">
                      <a:avLst/>
                    </a:prstGeom>
                  </pic:spPr>
                </pic:pic>
              </a:graphicData>
            </a:graphic>
          </wp:inline>
        </w:drawing>
      </w:r>
      <w:r>
        <w:rPr>
          <w:rFonts w:hint="eastAsia" w:ascii="仿宋" w:hAnsi="仿宋" w:eastAsia="仿宋"/>
          <w:bCs/>
          <w:sz w:val="32"/>
          <w:szCs w:val="32"/>
        </w:rPr>
        <w:drawing>
          <wp:inline distT="0" distB="0" distL="0" distR="0">
            <wp:extent cx="2415540" cy="1687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8368" cy="1689306"/>
                    </a:xfrm>
                    <a:prstGeom prst="rect">
                      <a:avLst/>
                    </a:prstGeom>
                  </pic:spPr>
                </pic:pic>
              </a:graphicData>
            </a:graphic>
          </wp:inline>
        </w:drawing>
      </w:r>
    </w:p>
    <w:p>
      <w:pPr>
        <w:ind w:firstLine="643" w:firstLineChars="200"/>
        <w:rPr>
          <w:rFonts w:ascii="仿宋" w:hAnsi="仿宋" w:eastAsia="仿宋"/>
          <w:bCs/>
          <w:sz w:val="32"/>
          <w:szCs w:val="32"/>
        </w:rPr>
      </w:pPr>
      <w:r>
        <w:rPr>
          <w:rFonts w:hint="eastAsia" w:ascii="仿宋" w:hAnsi="仿宋" w:eastAsia="仿宋"/>
          <w:b/>
          <w:sz w:val="32"/>
          <w:szCs w:val="32"/>
        </w:rPr>
        <w:t>4、御泉国际酒店项目</w:t>
      </w:r>
      <w:r>
        <w:rPr>
          <w:rFonts w:hint="eastAsia" w:ascii="仿宋" w:hAnsi="仿宋" w:eastAsia="仿宋"/>
          <w:bCs/>
          <w:sz w:val="32"/>
          <w:szCs w:val="32"/>
        </w:rPr>
        <w:t xml:space="preserve">：项目用地约34亩，计划投资3.8亿元，打造一个集酒店、公寓为一体的度假项目。 </w:t>
      </w:r>
    </w:p>
    <w:p>
      <w:pPr>
        <w:jc w:val="center"/>
        <w:rPr>
          <w:rFonts w:ascii="仿宋" w:hAnsi="仿宋" w:eastAsia="仿宋"/>
          <w:bCs/>
          <w:sz w:val="32"/>
          <w:szCs w:val="32"/>
        </w:rPr>
      </w:pPr>
      <w:r>
        <w:rPr>
          <w:rFonts w:hint="eastAsia" w:ascii="仿宋" w:hAnsi="仿宋" w:eastAsia="仿宋"/>
          <w:bCs/>
          <w:sz w:val="32"/>
          <w:szCs w:val="32"/>
        </w:rPr>
        <w:drawing>
          <wp:inline distT="0" distB="0" distL="0" distR="0">
            <wp:extent cx="2421890" cy="1630680"/>
            <wp:effectExtent l="0" t="0" r="165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4155" cy="1632058"/>
                    </a:xfrm>
                    <a:prstGeom prst="rect">
                      <a:avLst/>
                    </a:prstGeom>
                  </pic:spPr>
                </pic:pic>
              </a:graphicData>
            </a:graphic>
          </wp:inline>
        </w:drawing>
      </w:r>
      <w:r>
        <w:rPr>
          <w:rFonts w:hint="eastAsia" w:ascii="仿宋" w:hAnsi="仿宋" w:eastAsia="仿宋"/>
          <w:bCs/>
          <w:sz w:val="32"/>
          <w:szCs w:val="32"/>
        </w:rPr>
        <w:drawing>
          <wp:inline distT="0" distB="0" distL="0" distR="0">
            <wp:extent cx="2517775" cy="1631950"/>
            <wp:effectExtent l="0" t="0" r="1587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8634" cy="1632594"/>
                    </a:xfrm>
                    <a:prstGeom prst="rect">
                      <a:avLst/>
                    </a:prstGeom>
                  </pic:spPr>
                </pic:pic>
              </a:graphicData>
            </a:graphic>
          </wp:inline>
        </w:drawing>
      </w:r>
    </w:p>
    <w:p>
      <w:pPr>
        <w:rPr>
          <w:rFonts w:ascii="仿宋" w:hAnsi="仿宋" w:eastAsia="仿宋"/>
          <w:bCs/>
          <w:sz w:val="32"/>
          <w:szCs w:val="32"/>
        </w:rPr>
      </w:pPr>
    </w:p>
    <w:p>
      <w:pPr>
        <w:ind w:firstLine="640" w:firstLineChars="200"/>
        <w:rPr>
          <w:rFonts w:ascii="仿宋" w:hAnsi="仿宋" w:eastAsia="仿宋"/>
          <w:bCs/>
          <w:color w:val="FF0000"/>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16610"/>
    </w:sdtPr>
    <w:sdtContent>
      <w:p>
        <w:pPr>
          <w:pStyle w:val="3"/>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C8A"/>
    <w:rsid w:val="000041DA"/>
    <w:rsid w:val="00006309"/>
    <w:rsid w:val="00015790"/>
    <w:rsid w:val="0002399C"/>
    <w:rsid w:val="00040540"/>
    <w:rsid w:val="00061892"/>
    <w:rsid w:val="00067E30"/>
    <w:rsid w:val="00073DCE"/>
    <w:rsid w:val="000C212E"/>
    <w:rsid w:val="000C577D"/>
    <w:rsid w:val="000C74B4"/>
    <w:rsid w:val="000E61CA"/>
    <w:rsid w:val="001039F9"/>
    <w:rsid w:val="001153AB"/>
    <w:rsid w:val="0012016A"/>
    <w:rsid w:val="00130D76"/>
    <w:rsid w:val="001325BE"/>
    <w:rsid w:val="00134BC3"/>
    <w:rsid w:val="001547FA"/>
    <w:rsid w:val="00163722"/>
    <w:rsid w:val="00176608"/>
    <w:rsid w:val="00194731"/>
    <w:rsid w:val="001A045A"/>
    <w:rsid w:val="001A66B6"/>
    <w:rsid w:val="001C24AE"/>
    <w:rsid w:val="001F0801"/>
    <w:rsid w:val="00217DFD"/>
    <w:rsid w:val="00220A1C"/>
    <w:rsid w:val="00220B98"/>
    <w:rsid w:val="00227A31"/>
    <w:rsid w:val="00230716"/>
    <w:rsid w:val="0023370B"/>
    <w:rsid w:val="002344B7"/>
    <w:rsid w:val="002428DA"/>
    <w:rsid w:val="00274402"/>
    <w:rsid w:val="00277CF0"/>
    <w:rsid w:val="00296726"/>
    <w:rsid w:val="002D43D1"/>
    <w:rsid w:val="002D5739"/>
    <w:rsid w:val="002E2714"/>
    <w:rsid w:val="002E55FA"/>
    <w:rsid w:val="003410E9"/>
    <w:rsid w:val="00372FB7"/>
    <w:rsid w:val="003B2605"/>
    <w:rsid w:val="003C06DB"/>
    <w:rsid w:val="003C39E7"/>
    <w:rsid w:val="003C6C88"/>
    <w:rsid w:val="003C7A0F"/>
    <w:rsid w:val="003E0A62"/>
    <w:rsid w:val="003E4A16"/>
    <w:rsid w:val="003F4311"/>
    <w:rsid w:val="0041728B"/>
    <w:rsid w:val="00467A36"/>
    <w:rsid w:val="00486DAA"/>
    <w:rsid w:val="004B681F"/>
    <w:rsid w:val="004D6046"/>
    <w:rsid w:val="004D6EA2"/>
    <w:rsid w:val="004E04EE"/>
    <w:rsid w:val="004F56D3"/>
    <w:rsid w:val="00506A11"/>
    <w:rsid w:val="005117DB"/>
    <w:rsid w:val="00526C43"/>
    <w:rsid w:val="00543D73"/>
    <w:rsid w:val="00553861"/>
    <w:rsid w:val="00563658"/>
    <w:rsid w:val="00570078"/>
    <w:rsid w:val="00580874"/>
    <w:rsid w:val="005D2150"/>
    <w:rsid w:val="0064485E"/>
    <w:rsid w:val="006460F6"/>
    <w:rsid w:val="00667E2A"/>
    <w:rsid w:val="0067042B"/>
    <w:rsid w:val="006A67E6"/>
    <w:rsid w:val="006B0016"/>
    <w:rsid w:val="006B5F21"/>
    <w:rsid w:val="006C78BA"/>
    <w:rsid w:val="006E7703"/>
    <w:rsid w:val="007065F2"/>
    <w:rsid w:val="00716E5B"/>
    <w:rsid w:val="00723053"/>
    <w:rsid w:val="007B1779"/>
    <w:rsid w:val="007C4D0C"/>
    <w:rsid w:val="008338FB"/>
    <w:rsid w:val="00835D1A"/>
    <w:rsid w:val="00875AAC"/>
    <w:rsid w:val="008813FE"/>
    <w:rsid w:val="008B195D"/>
    <w:rsid w:val="008C4633"/>
    <w:rsid w:val="008C522B"/>
    <w:rsid w:val="008E0F38"/>
    <w:rsid w:val="008E417D"/>
    <w:rsid w:val="008E7177"/>
    <w:rsid w:val="00905213"/>
    <w:rsid w:val="0092734C"/>
    <w:rsid w:val="009B0A44"/>
    <w:rsid w:val="009B238E"/>
    <w:rsid w:val="009E2FB8"/>
    <w:rsid w:val="009F5E58"/>
    <w:rsid w:val="009F6558"/>
    <w:rsid w:val="00A03068"/>
    <w:rsid w:val="00A24EE1"/>
    <w:rsid w:val="00A40C8C"/>
    <w:rsid w:val="00A67A8D"/>
    <w:rsid w:val="00A709B6"/>
    <w:rsid w:val="00A836CD"/>
    <w:rsid w:val="00A95A03"/>
    <w:rsid w:val="00AA4F66"/>
    <w:rsid w:val="00AF50C8"/>
    <w:rsid w:val="00AF5FFB"/>
    <w:rsid w:val="00B101EB"/>
    <w:rsid w:val="00B15842"/>
    <w:rsid w:val="00B2076F"/>
    <w:rsid w:val="00B6445D"/>
    <w:rsid w:val="00B724AF"/>
    <w:rsid w:val="00BA465B"/>
    <w:rsid w:val="00BA5596"/>
    <w:rsid w:val="00BB46C8"/>
    <w:rsid w:val="00BE2089"/>
    <w:rsid w:val="00C02889"/>
    <w:rsid w:val="00C32567"/>
    <w:rsid w:val="00C40AB8"/>
    <w:rsid w:val="00C5419C"/>
    <w:rsid w:val="00C7739A"/>
    <w:rsid w:val="00C949AB"/>
    <w:rsid w:val="00CB08BF"/>
    <w:rsid w:val="00CB655C"/>
    <w:rsid w:val="00CC266D"/>
    <w:rsid w:val="00CD79C6"/>
    <w:rsid w:val="00CE0689"/>
    <w:rsid w:val="00D063F8"/>
    <w:rsid w:val="00D1152B"/>
    <w:rsid w:val="00D11A51"/>
    <w:rsid w:val="00D31894"/>
    <w:rsid w:val="00D572CC"/>
    <w:rsid w:val="00DF37A1"/>
    <w:rsid w:val="00E26784"/>
    <w:rsid w:val="00E305CD"/>
    <w:rsid w:val="00E3153F"/>
    <w:rsid w:val="00E6142F"/>
    <w:rsid w:val="00E84C8A"/>
    <w:rsid w:val="00ED4D0B"/>
    <w:rsid w:val="00EE7132"/>
    <w:rsid w:val="00EF2C86"/>
    <w:rsid w:val="00F10643"/>
    <w:rsid w:val="00F40890"/>
    <w:rsid w:val="00FA25AB"/>
    <w:rsid w:val="00FA67F1"/>
    <w:rsid w:val="00FD0628"/>
    <w:rsid w:val="03546F5F"/>
    <w:rsid w:val="042E5A77"/>
    <w:rsid w:val="07065434"/>
    <w:rsid w:val="09312975"/>
    <w:rsid w:val="09E34549"/>
    <w:rsid w:val="0AED1AAD"/>
    <w:rsid w:val="0C222CBC"/>
    <w:rsid w:val="0C621A9D"/>
    <w:rsid w:val="0CA55D1C"/>
    <w:rsid w:val="0DED05B9"/>
    <w:rsid w:val="0E0F32F1"/>
    <w:rsid w:val="0EAA3764"/>
    <w:rsid w:val="10CA6F6D"/>
    <w:rsid w:val="1102229F"/>
    <w:rsid w:val="110B04A6"/>
    <w:rsid w:val="140043CB"/>
    <w:rsid w:val="14632350"/>
    <w:rsid w:val="15347E7B"/>
    <w:rsid w:val="15655F04"/>
    <w:rsid w:val="159326B4"/>
    <w:rsid w:val="15C10433"/>
    <w:rsid w:val="180C19D4"/>
    <w:rsid w:val="18880EAB"/>
    <w:rsid w:val="198F034F"/>
    <w:rsid w:val="19B148B5"/>
    <w:rsid w:val="1EAE69F8"/>
    <w:rsid w:val="20282DAF"/>
    <w:rsid w:val="211E2ECD"/>
    <w:rsid w:val="221B1E1E"/>
    <w:rsid w:val="259D7663"/>
    <w:rsid w:val="263C70EC"/>
    <w:rsid w:val="284B4A79"/>
    <w:rsid w:val="2B767B7C"/>
    <w:rsid w:val="2E9B496A"/>
    <w:rsid w:val="2F623B0E"/>
    <w:rsid w:val="32821785"/>
    <w:rsid w:val="3319609E"/>
    <w:rsid w:val="353548E6"/>
    <w:rsid w:val="3959678C"/>
    <w:rsid w:val="3CA2498D"/>
    <w:rsid w:val="3F93702F"/>
    <w:rsid w:val="40DD4452"/>
    <w:rsid w:val="41B76A6A"/>
    <w:rsid w:val="42C52367"/>
    <w:rsid w:val="45832177"/>
    <w:rsid w:val="47FC106F"/>
    <w:rsid w:val="49181FC9"/>
    <w:rsid w:val="4AB87627"/>
    <w:rsid w:val="4C421262"/>
    <w:rsid w:val="4C4D4881"/>
    <w:rsid w:val="50E90EDA"/>
    <w:rsid w:val="53F11437"/>
    <w:rsid w:val="541D4259"/>
    <w:rsid w:val="548D25B8"/>
    <w:rsid w:val="56210059"/>
    <w:rsid w:val="56451914"/>
    <w:rsid w:val="57DE32C6"/>
    <w:rsid w:val="58964F6E"/>
    <w:rsid w:val="59105623"/>
    <w:rsid w:val="59340F9E"/>
    <w:rsid w:val="5A391C95"/>
    <w:rsid w:val="5A6C4006"/>
    <w:rsid w:val="5AE2223C"/>
    <w:rsid w:val="5B736E5B"/>
    <w:rsid w:val="5C3867C2"/>
    <w:rsid w:val="5C387072"/>
    <w:rsid w:val="5C7C14C4"/>
    <w:rsid w:val="5C8E3159"/>
    <w:rsid w:val="5E8B501B"/>
    <w:rsid w:val="60950FC8"/>
    <w:rsid w:val="60EB018D"/>
    <w:rsid w:val="61D81850"/>
    <w:rsid w:val="64FF7C25"/>
    <w:rsid w:val="692F15F5"/>
    <w:rsid w:val="6BCA173B"/>
    <w:rsid w:val="6E720F60"/>
    <w:rsid w:val="6E771D3B"/>
    <w:rsid w:val="70E367D6"/>
    <w:rsid w:val="723C5F6F"/>
    <w:rsid w:val="757D38B9"/>
    <w:rsid w:val="7BE15626"/>
    <w:rsid w:val="7EEA1E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9"/>
    <w:semiHidden/>
    <w:unhideWhenUsed/>
    <w:qFormat/>
    <w:uiPriority w:val="99"/>
    <w:rPr>
      <w:sz w:val="18"/>
      <w:szCs w:val="18"/>
    </w:rPr>
  </w:style>
  <w:style w:type="paragraph" w:styleId="3">
    <w:name w:val="footer"/>
    <w:basedOn w:val="1"/>
    <w:link w:val="18"/>
    <w:unhideWhenUsed/>
    <w:qFormat/>
    <w:uiPriority w:val="99"/>
    <w:pPr>
      <w:tabs>
        <w:tab w:val="center" w:pos="4153"/>
        <w:tab w:val="right" w:pos="8306"/>
      </w:tabs>
      <w:snapToGrid w:val="0"/>
      <w:jc w:val="left"/>
    </w:pPr>
    <w:rPr>
      <w:sz w:val="18"/>
      <w:szCs w:val="18"/>
    </w:rPr>
  </w:style>
  <w:style w:type="paragraph" w:styleId="4">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jc w:val="left"/>
    </w:pPr>
    <w:rPr>
      <w:rFonts w:cs="Times New Roman"/>
      <w:kern w:val="0"/>
      <w:sz w:val="24"/>
    </w:rPr>
  </w:style>
  <w:style w:type="character" w:styleId="8">
    <w:name w:val="Strong"/>
    <w:basedOn w:val="7"/>
    <w:qFormat/>
    <w:uiPriority w:val="22"/>
    <w:rPr>
      <w:b/>
    </w:rPr>
  </w:style>
  <w:style w:type="character" w:styleId="9">
    <w:name w:val="FollowedHyperlink"/>
    <w:basedOn w:val="7"/>
    <w:semiHidden/>
    <w:unhideWhenUsed/>
    <w:qFormat/>
    <w:uiPriority w:val="99"/>
    <w:rPr>
      <w:color w:val="800080"/>
      <w:u w:val="none"/>
    </w:rPr>
  </w:style>
  <w:style w:type="character" w:styleId="10">
    <w:name w:val="Emphasis"/>
    <w:basedOn w:val="7"/>
    <w:qFormat/>
    <w:uiPriority w:val="20"/>
  </w:style>
  <w:style w:type="character" w:styleId="11">
    <w:name w:val="HTML Definition"/>
    <w:basedOn w:val="7"/>
    <w:semiHidden/>
    <w:unhideWhenUsed/>
    <w:qFormat/>
    <w:uiPriority w:val="99"/>
  </w:style>
  <w:style w:type="character" w:styleId="12">
    <w:name w:val="HTML Acronym"/>
    <w:basedOn w:val="7"/>
    <w:semiHidden/>
    <w:unhideWhenUsed/>
    <w:qFormat/>
    <w:uiPriority w:val="99"/>
  </w:style>
  <w:style w:type="character" w:styleId="13">
    <w:name w:val="HTML Variable"/>
    <w:basedOn w:val="7"/>
    <w:semiHidden/>
    <w:unhideWhenUsed/>
    <w:qFormat/>
    <w:uiPriority w:val="99"/>
  </w:style>
  <w:style w:type="character" w:styleId="14">
    <w:name w:val="Hyperlink"/>
    <w:basedOn w:val="7"/>
    <w:semiHidden/>
    <w:unhideWhenUsed/>
    <w:qFormat/>
    <w:uiPriority w:val="99"/>
    <w:rPr>
      <w:color w:val="0000FF"/>
      <w:u w:val="none"/>
    </w:rPr>
  </w:style>
  <w:style w:type="character" w:styleId="15">
    <w:name w:val="HTML Code"/>
    <w:basedOn w:val="7"/>
    <w:semiHidden/>
    <w:unhideWhenUsed/>
    <w:qFormat/>
    <w:uiPriority w:val="99"/>
    <w:rPr>
      <w:rFonts w:ascii="Courier New" w:hAnsi="Courier New"/>
      <w:sz w:val="20"/>
      <w:u w:val="none"/>
    </w:rPr>
  </w:style>
  <w:style w:type="character" w:styleId="16">
    <w:name w:val="HTML Cite"/>
    <w:basedOn w:val="7"/>
    <w:semiHidden/>
    <w:unhideWhenUsed/>
    <w:qFormat/>
    <w:uiPriority w:val="99"/>
  </w:style>
  <w:style w:type="character" w:customStyle="1" w:styleId="17">
    <w:name w:val="页眉 Char"/>
    <w:basedOn w:val="7"/>
    <w:link w:val="4"/>
    <w:qFormat/>
    <w:uiPriority w:val="99"/>
    <w:rPr>
      <w:sz w:val="18"/>
      <w:szCs w:val="18"/>
    </w:rPr>
  </w:style>
  <w:style w:type="character" w:customStyle="1" w:styleId="18">
    <w:name w:val="页脚 Char"/>
    <w:basedOn w:val="7"/>
    <w:link w:val="3"/>
    <w:qFormat/>
    <w:uiPriority w:val="99"/>
    <w:rPr>
      <w:sz w:val="18"/>
      <w:szCs w:val="18"/>
    </w:rPr>
  </w:style>
  <w:style w:type="character" w:customStyle="1" w:styleId="19">
    <w:name w:val="批注框文本 Char"/>
    <w:basedOn w:val="7"/>
    <w:link w:val="2"/>
    <w:semiHidden/>
    <w:qFormat/>
    <w:uiPriority w:val="99"/>
    <w:rPr>
      <w:sz w:val="18"/>
      <w:szCs w:val="18"/>
    </w:rPr>
  </w:style>
  <w:style w:type="character" w:customStyle="1" w:styleId="20">
    <w:name w:val="curre"/>
    <w:basedOn w:val="7"/>
    <w:qFormat/>
    <w:uiPriority w:val="0"/>
    <w:rPr>
      <w:color w:val="FFFFFF"/>
      <w:shd w:val="clear" w:color="auto" w:fill="2F6EA2"/>
    </w:rPr>
  </w:style>
  <w:style w:type="paragraph" w:styleId="21">
    <w:name w:val="List Paragraph"/>
    <w:basedOn w:val="1"/>
    <w:unhideWhenUsed/>
    <w:qFormat/>
    <w:uiPriority w:val="99"/>
    <w:pPr>
      <w:ind w:firstLine="420" w:firstLineChars="200"/>
    </w:pPr>
  </w:style>
  <w:style w:type="paragraph" w:customStyle="1" w:styleId="22">
    <w:name w:val="排版格式"/>
    <w:basedOn w:val="1"/>
    <w:qFormat/>
    <w:uiPriority w:val="0"/>
    <w:pPr>
      <w:spacing w:line="600" w:lineRule="exact"/>
      <w:ind w:firstLine="881" w:firstLineChars="200"/>
    </w:pPr>
    <w:rPr>
      <w:rFonts w:ascii="Times New Roman" w:hAnsi="Times New Roman" w:eastAsia="华文仿宋" w:cs="Times New Roman"/>
      <w:sz w:val="36"/>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6</Pages>
  <Words>341</Words>
  <Characters>1947</Characters>
  <Lines>16</Lines>
  <Paragraphs>4</Paragraphs>
  <TotalTime>0</TotalTime>
  <ScaleCrop>false</ScaleCrop>
  <LinksUpToDate>false</LinksUpToDate>
  <CharactersWithSpaces>2284</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2020-09-23T07:38:00Z</dcterms:created>
  <dc:creator>Windows 用户</dc:creator>
  <cp:lastModifiedBy>Administrator</cp:lastModifiedBy>
  <cp:lastPrinted>2019-10-10T09:26:00Z</cp:lastPrinted>
  <dcterms:modified xsi:type="dcterms:W3CDTF">2020-09-23T07:43:59Z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