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1" w:line="220" w:lineRule="auto"/>
        <w:ind w:left="3394"/>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8"/>
          <w:sz w:val="44"/>
          <w:szCs w:val="44"/>
        </w:rPr>
        <w:t>榜</w:t>
      </w:r>
      <w:r>
        <w:rPr>
          <w:rFonts w:hint="eastAsia" w:ascii="方正小标宋简体" w:hAnsi="方正小标宋简体" w:eastAsia="方正小标宋简体" w:cs="方正小标宋简体"/>
          <w:spacing w:val="8"/>
          <w:sz w:val="44"/>
          <w:szCs w:val="44"/>
          <w:lang w:eastAsia="zh-CN"/>
        </w:rPr>
        <w:t>项目榜单</w:t>
      </w:r>
    </w:p>
    <w:p>
      <w:pPr>
        <w:spacing w:line="30" w:lineRule="exact"/>
      </w:pPr>
    </w:p>
    <w:tbl>
      <w:tblPr>
        <w:tblStyle w:val="6"/>
        <w:tblW w:w="8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4"/>
        <w:gridCol w:w="3325"/>
        <w:gridCol w:w="1593"/>
        <w:gridCol w:w="2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keepNext w:val="0"/>
              <w:keepLines w:val="0"/>
              <w:pageBreakBefore w:val="0"/>
              <w:wordWrap/>
              <w:overflowPunct/>
              <w:topLinePunct w:val="0"/>
              <w:bidi w:val="0"/>
              <w:spacing w:line="219" w:lineRule="auto"/>
              <w:jc w:val="center"/>
              <w:rPr>
                <w:szCs w:val="21"/>
              </w:rPr>
            </w:pPr>
            <w:r>
              <w:rPr>
                <w:spacing w:val="-2"/>
                <w:szCs w:val="21"/>
              </w:rPr>
              <w:t>榜单名称</w:t>
            </w:r>
          </w:p>
        </w:tc>
        <w:tc>
          <w:tcPr>
            <w:tcW w:w="7772" w:type="dxa"/>
            <w:gridSpan w:val="3"/>
            <w:vAlign w:val="center"/>
          </w:tcPr>
          <w:p>
            <w:pPr>
              <w:keepNext w:val="0"/>
              <w:keepLines w:val="0"/>
              <w:pageBreakBefore w:val="0"/>
              <w:wordWrap/>
              <w:overflowPunct/>
              <w:topLinePunct w:val="0"/>
              <w:bidi w:val="0"/>
              <w:jc w:val="center"/>
              <w:rPr>
                <w:szCs w:val="21"/>
              </w:rPr>
            </w:pPr>
            <w:r>
              <w:rPr>
                <w:rFonts w:hint="eastAsia"/>
                <w:szCs w:val="21"/>
              </w:rPr>
              <w:t>生物基塑料及其单体的制备技术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keepNext w:val="0"/>
              <w:keepLines w:val="0"/>
              <w:pageBreakBefore w:val="0"/>
              <w:wordWrap/>
              <w:overflowPunct/>
              <w:topLinePunct w:val="0"/>
              <w:bidi w:val="0"/>
              <w:spacing w:line="248" w:lineRule="auto"/>
              <w:ind w:left="396" w:right="62" w:hanging="311"/>
              <w:rPr>
                <w:szCs w:val="21"/>
              </w:rPr>
            </w:pPr>
            <w:r>
              <w:rPr>
                <w:spacing w:val="-2"/>
                <w:szCs w:val="21"/>
              </w:rPr>
              <w:t>专业领域及</w:t>
            </w:r>
            <w:r>
              <w:rPr>
                <w:szCs w:val="21"/>
              </w:rPr>
              <w:t xml:space="preserve"> </w:t>
            </w:r>
            <w:r>
              <w:rPr>
                <w:spacing w:val="10"/>
                <w:szCs w:val="21"/>
              </w:rPr>
              <w:t>方向</w:t>
            </w:r>
          </w:p>
        </w:tc>
        <w:tc>
          <w:tcPr>
            <w:tcW w:w="7772" w:type="dxa"/>
            <w:gridSpan w:val="3"/>
            <w:vAlign w:val="center"/>
          </w:tcPr>
          <w:p>
            <w:pPr>
              <w:keepNext w:val="0"/>
              <w:keepLines w:val="0"/>
              <w:pageBreakBefore w:val="0"/>
              <w:wordWrap/>
              <w:overflowPunct/>
              <w:topLinePunct w:val="0"/>
              <w:bidi w:val="0"/>
              <w:jc w:val="center"/>
              <w:rPr>
                <w:szCs w:val="21"/>
              </w:rPr>
            </w:pPr>
            <w:r>
              <w:rPr>
                <w:rFonts w:hint="eastAsia"/>
                <w:szCs w:val="21"/>
              </w:rPr>
              <w:t>新材料-生物基材料、生物技术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keepNext w:val="0"/>
              <w:keepLines w:val="0"/>
              <w:pageBreakBefore w:val="0"/>
              <w:wordWrap/>
              <w:overflowPunct/>
              <w:topLinePunct w:val="0"/>
              <w:bidi w:val="0"/>
              <w:spacing w:line="220" w:lineRule="auto"/>
              <w:ind w:left="21"/>
              <w:rPr>
                <w:szCs w:val="21"/>
              </w:rPr>
            </w:pPr>
            <w:r>
              <w:rPr>
                <w:spacing w:val="-7"/>
                <w:szCs w:val="21"/>
              </w:rPr>
              <w:t>启动</w:t>
            </w:r>
            <w:r>
              <w:rPr>
                <w:spacing w:val="3"/>
                <w:szCs w:val="21"/>
              </w:rPr>
              <w:t>时间</w:t>
            </w:r>
          </w:p>
        </w:tc>
        <w:tc>
          <w:tcPr>
            <w:tcW w:w="3325" w:type="dxa"/>
            <w:vAlign w:val="center"/>
          </w:tcPr>
          <w:p>
            <w:pPr>
              <w:keepNext w:val="0"/>
              <w:keepLines w:val="0"/>
              <w:pageBreakBefore w:val="0"/>
              <w:wordWrap/>
              <w:overflowPunct/>
              <w:topLinePunct w:val="0"/>
              <w:bidi w:val="0"/>
              <w:jc w:val="center"/>
              <w:rPr>
                <w:szCs w:val="21"/>
              </w:rPr>
            </w:pPr>
            <w:r>
              <w:rPr>
                <w:rFonts w:hint="eastAsia"/>
                <w:szCs w:val="21"/>
              </w:rPr>
              <w:t>2</w:t>
            </w:r>
            <w:r>
              <w:rPr>
                <w:szCs w:val="21"/>
              </w:rPr>
              <w:t>024</w:t>
            </w:r>
            <w:r>
              <w:rPr>
                <w:rFonts w:hint="eastAsia"/>
                <w:szCs w:val="21"/>
              </w:rPr>
              <w:t>年1月</w:t>
            </w:r>
          </w:p>
        </w:tc>
        <w:tc>
          <w:tcPr>
            <w:tcW w:w="1593" w:type="dxa"/>
            <w:vAlign w:val="center"/>
          </w:tcPr>
          <w:p>
            <w:pPr>
              <w:keepNext w:val="0"/>
              <w:keepLines w:val="0"/>
              <w:pageBreakBefore w:val="0"/>
              <w:wordWrap/>
              <w:overflowPunct/>
              <w:topLinePunct w:val="0"/>
              <w:bidi w:val="0"/>
              <w:spacing w:line="221" w:lineRule="auto"/>
              <w:ind w:left="15"/>
              <w:rPr>
                <w:szCs w:val="21"/>
              </w:rPr>
            </w:pPr>
            <w:r>
              <w:rPr>
                <w:spacing w:val="-5"/>
                <w:szCs w:val="21"/>
              </w:rPr>
              <w:t>计划</w:t>
            </w:r>
            <w:r>
              <w:rPr>
                <w:spacing w:val="4"/>
                <w:szCs w:val="21"/>
              </w:rPr>
              <w:t>完成时间</w:t>
            </w:r>
          </w:p>
        </w:tc>
        <w:tc>
          <w:tcPr>
            <w:tcW w:w="2854" w:type="dxa"/>
            <w:vAlign w:val="center"/>
          </w:tcPr>
          <w:p>
            <w:pPr>
              <w:keepNext w:val="0"/>
              <w:keepLines w:val="0"/>
              <w:pageBreakBefore w:val="0"/>
              <w:wordWrap/>
              <w:overflowPunct/>
              <w:topLinePunct w:val="0"/>
              <w:bidi w:val="0"/>
              <w:jc w:val="center"/>
              <w:rPr>
                <w:szCs w:val="21"/>
              </w:rPr>
            </w:pPr>
            <w:r>
              <w:rPr>
                <w:rFonts w:hint="eastAsia"/>
                <w:szCs w:val="21"/>
              </w:rPr>
              <w:t>2</w:t>
            </w:r>
            <w:r>
              <w:rPr>
                <w:szCs w:val="21"/>
              </w:rPr>
              <w:t>026</w:t>
            </w:r>
            <w:r>
              <w:rPr>
                <w:rFonts w:hint="eastAsia"/>
                <w:szCs w:val="21"/>
              </w:rPr>
              <w:t>年1</w:t>
            </w:r>
            <w:r>
              <w:rPr>
                <w:szCs w:val="21"/>
              </w:rPr>
              <w:t>2</w:t>
            </w:r>
            <w:r>
              <w:rPr>
                <w:rFonts w:hint="eastAsia"/>
                <w:szCs w:val="21"/>
              </w:rP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2" w:hRule="atLeast"/>
        </w:trPr>
        <w:tc>
          <w:tcPr>
            <w:tcW w:w="1194" w:type="dxa"/>
            <w:vAlign w:val="center"/>
          </w:tcPr>
          <w:p>
            <w:pPr>
              <w:keepNext w:val="0"/>
              <w:keepLines w:val="0"/>
              <w:pageBreakBefore w:val="0"/>
              <w:wordWrap/>
              <w:overflowPunct/>
              <w:topLinePunct w:val="0"/>
              <w:bidi w:val="0"/>
              <w:spacing w:line="247" w:lineRule="auto"/>
              <w:ind w:left="504" w:right="62" w:hanging="420"/>
              <w:rPr>
                <w:szCs w:val="21"/>
              </w:rPr>
            </w:pPr>
            <w:r>
              <w:rPr>
                <w:spacing w:val="-2"/>
                <w:szCs w:val="21"/>
              </w:rPr>
              <w:t>榜单具体内</w:t>
            </w:r>
            <w:r>
              <w:rPr>
                <w:szCs w:val="21"/>
              </w:rPr>
              <w:t xml:space="preserve"> 容</w:t>
            </w:r>
          </w:p>
        </w:tc>
        <w:tc>
          <w:tcPr>
            <w:tcW w:w="7772" w:type="dxa"/>
            <w:gridSpan w:val="3"/>
            <w:vAlign w:val="center"/>
          </w:tcPr>
          <w:p>
            <w:pPr>
              <w:keepNext w:val="0"/>
              <w:keepLines w:val="0"/>
              <w:pageBreakBefore w:val="0"/>
              <w:wordWrap/>
              <w:overflowPunct/>
              <w:topLinePunct w:val="0"/>
              <w:bidi w:val="0"/>
              <w:spacing w:line="240" w:lineRule="auto"/>
              <w:ind w:left="13" w:firstLine="420" w:firstLineChars="200"/>
              <w:rPr>
                <w:szCs w:val="21"/>
              </w:rPr>
            </w:pPr>
            <w:r>
              <w:rPr>
                <w:rFonts w:hint="eastAsia"/>
                <w:szCs w:val="21"/>
              </w:rPr>
              <w:t>工作内容方案：</w:t>
            </w:r>
          </w:p>
          <w:p>
            <w:pPr>
              <w:keepNext w:val="0"/>
              <w:keepLines w:val="0"/>
              <w:pageBreakBefore w:val="0"/>
              <w:wordWrap/>
              <w:overflowPunct/>
              <w:topLinePunct w:val="0"/>
              <w:bidi w:val="0"/>
              <w:spacing w:line="240" w:lineRule="auto"/>
              <w:ind w:left="13" w:firstLine="420" w:firstLineChars="200"/>
              <w:rPr>
                <w:szCs w:val="21"/>
              </w:rPr>
            </w:pPr>
            <w:r>
              <w:rPr>
                <w:rFonts w:hint="eastAsia"/>
                <w:szCs w:val="21"/>
              </w:rPr>
              <w:t>1</w:t>
            </w:r>
            <w:r>
              <w:rPr>
                <w:szCs w:val="21"/>
              </w:rPr>
              <w:t xml:space="preserve">. </w:t>
            </w:r>
            <w:r>
              <w:rPr>
                <w:rFonts w:hint="eastAsia"/>
                <w:szCs w:val="21"/>
              </w:rPr>
              <w:t>针对塑料单体（如丙二醇、乙烯、丙烯、1,4-丁二醇、1,4-丁二酸、己二酸、己二胺、对苯二甲酸、对羟基苯甲酸、丁二烯、苯乙烯、异戊二烯等）及其前体的生物合成，对其系列工业菌种进行组学技术解析，研究其高产机理，挖掘高性能的催化、调控、转运等功能元件库；建立高效大规模基因组编辑改造技术体系，发展工程菌种的自主专利设计策略，形成具有自主知识产权的工程菌种。</w:t>
            </w:r>
          </w:p>
          <w:p>
            <w:pPr>
              <w:keepNext w:val="0"/>
              <w:keepLines w:val="0"/>
              <w:pageBreakBefore w:val="0"/>
              <w:wordWrap/>
              <w:overflowPunct/>
              <w:topLinePunct w:val="0"/>
              <w:bidi w:val="0"/>
              <w:spacing w:line="240" w:lineRule="auto"/>
              <w:ind w:left="13" w:firstLine="420" w:firstLineChars="200"/>
              <w:rPr>
                <w:szCs w:val="21"/>
              </w:rPr>
            </w:pPr>
            <w:r>
              <w:rPr>
                <w:szCs w:val="21"/>
              </w:rPr>
              <w:t xml:space="preserve">2. </w:t>
            </w:r>
            <w:r>
              <w:rPr>
                <w:rFonts w:hint="eastAsia"/>
                <w:szCs w:val="21"/>
              </w:rPr>
              <w:t>建立工业菌种基因组规模代谢网络模型，预测关键的代谢流控制节点，发展目标产物产率、原料利用率和转化率等生产性能指标提升改造的新策略；完成无质粒、无抗性标记的新型高产工业菌种，形成具有自主知识产权的工程菌种。</w:t>
            </w:r>
          </w:p>
          <w:p>
            <w:pPr>
              <w:keepNext w:val="0"/>
              <w:keepLines w:val="0"/>
              <w:pageBreakBefore w:val="0"/>
              <w:wordWrap/>
              <w:overflowPunct/>
              <w:topLinePunct w:val="0"/>
              <w:bidi w:val="0"/>
              <w:spacing w:line="240" w:lineRule="auto"/>
              <w:ind w:left="13" w:firstLine="420" w:firstLineChars="200"/>
              <w:rPr>
                <w:szCs w:val="21"/>
              </w:rPr>
            </w:pPr>
            <w:r>
              <w:rPr>
                <w:rFonts w:hint="eastAsia"/>
                <w:szCs w:val="21"/>
              </w:rPr>
              <w:t>3．研究外源途径酶的非理性定向进化和计算指导的理性设计、多酶级联的共定位与区室化、基因回路动态调控、辅因子工程、鲁棒性工程、无细胞合成和数据驱动细胞工厂创建等合成生物技术，创建具有自主知识产权、无质粒无抗性标记的高效人工微生物细胞工厂。</w:t>
            </w:r>
            <w:r>
              <w:rPr>
                <w:szCs w:val="21"/>
              </w:rPr>
              <w:cr/>
            </w:r>
            <w:r>
              <w:rPr>
                <w:szCs w:val="21"/>
              </w:rPr>
              <w:t xml:space="preserve">4. </w:t>
            </w:r>
            <w:r>
              <w:rPr>
                <w:rFonts w:hint="eastAsia"/>
                <w:szCs w:val="21"/>
              </w:rPr>
              <w:t>通过多学科联合，建立完整的生物-化学-工艺技术，突破生物基单体化合物的生产难题。上游通过微生物学、合成生物学、分子生物学技术，构建高效转化菌株，生产生物基单体或前体。化学催化专业，攻克前体制备生物基单体的高性能催化技术，进而在工艺研发技术上，将生物、化学、化工相结合，突破分离纯化、自动化等关键技术，实现生物基单体化合物的低成本制备。</w:t>
            </w:r>
          </w:p>
          <w:p>
            <w:pPr>
              <w:keepNext w:val="0"/>
              <w:keepLines w:val="0"/>
              <w:pageBreakBefore w:val="0"/>
              <w:wordWrap/>
              <w:overflowPunct/>
              <w:topLinePunct w:val="0"/>
              <w:bidi w:val="0"/>
              <w:spacing w:line="240" w:lineRule="auto"/>
              <w:ind w:left="13" w:firstLine="420" w:firstLineChars="200"/>
              <w:rPr>
                <w:szCs w:val="21"/>
              </w:rPr>
            </w:pPr>
            <w:r>
              <w:rPr>
                <w:rFonts w:hint="eastAsia"/>
                <w:szCs w:val="21"/>
              </w:rPr>
              <w:t>技术指标：</w:t>
            </w:r>
          </w:p>
          <w:p>
            <w:pPr>
              <w:pStyle w:val="9"/>
              <w:keepNext w:val="0"/>
              <w:keepLines w:val="0"/>
              <w:pageBreakBefore w:val="0"/>
              <w:numPr>
                <w:ilvl w:val="0"/>
                <w:numId w:val="1"/>
              </w:numPr>
              <w:wordWrap/>
              <w:overflowPunct/>
              <w:topLinePunct w:val="0"/>
              <w:bidi w:val="0"/>
              <w:spacing w:line="240" w:lineRule="auto"/>
              <w:ind w:firstLine="420" w:firstLineChars="200"/>
              <w:rPr>
                <w:szCs w:val="21"/>
              </w:rPr>
            </w:pPr>
            <w:r>
              <w:rPr>
                <w:rFonts w:hint="eastAsia"/>
                <w:szCs w:val="21"/>
              </w:rPr>
              <w:t>研发出至少5种单体化合物的生物基制备技术，生物基单体化合物生产成本不超过石油基化合物制备成本的1.5倍。</w:t>
            </w:r>
          </w:p>
          <w:p>
            <w:pPr>
              <w:pStyle w:val="9"/>
              <w:keepNext w:val="0"/>
              <w:keepLines w:val="0"/>
              <w:pageBreakBefore w:val="0"/>
              <w:numPr>
                <w:ilvl w:val="0"/>
                <w:numId w:val="1"/>
              </w:numPr>
              <w:wordWrap/>
              <w:overflowPunct/>
              <w:topLinePunct w:val="0"/>
              <w:bidi w:val="0"/>
              <w:spacing w:line="240" w:lineRule="auto"/>
              <w:ind w:firstLine="420" w:firstLineChars="200"/>
              <w:rPr>
                <w:szCs w:val="21"/>
              </w:rPr>
            </w:pPr>
            <w:r>
              <w:rPr>
                <w:rFonts w:hint="eastAsia"/>
                <w:szCs w:val="21"/>
              </w:rPr>
              <w:t>建立吨级规模化示范生产线，取得原料生产许可证，产品实现销售收入超</w:t>
            </w:r>
            <w:r>
              <w:rPr>
                <w:szCs w:val="21"/>
              </w:rPr>
              <w:t>2</w:t>
            </w:r>
            <w:r>
              <w:rPr>
                <w:rFonts w:hint="eastAsia"/>
                <w:szCs w:val="21"/>
              </w:rPr>
              <w:t>000万元。</w:t>
            </w:r>
          </w:p>
          <w:p>
            <w:pPr>
              <w:pStyle w:val="9"/>
              <w:keepNext w:val="0"/>
              <w:keepLines w:val="0"/>
              <w:pageBreakBefore w:val="0"/>
              <w:numPr>
                <w:ilvl w:val="0"/>
                <w:numId w:val="1"/>
              </w:numPr>
              <w:wordWrap/>
              <w:overflowPunct/>
              <w:topLinePunct w:val="0"/>
              <w:bidi w:val="0"/>
              <w:spacing w:line="240" w:lineRule="auto"/>
              <w:ind w:firstLine="420" w:firstLineChars="200"/>
              <w:rPr>
                <w:szCs w:val="21"/>
              </w:rPr>
            </w:pPr>
            <w:bookmarkStart w:id="0" w:name="_GoBack"/>
            <w:bookmarkEnd w:id="0"/>
            <w:r>
              <w:rPr>
                <w:rFonts w:hint="eastAsia"/>
                <w:szCs w:val="21"/>
              </w:rPr>
              <w:t>核心技术形成自主知识产权，申请发明专利</w:t>
            </w:r>
            <w:r>
              <w:rPr>
                <w:szCs w:val="21"/>
              </w:rPr>
              <w:t>3</w:t>
            </w:r>
            <w:r>
              <w:rPr>
                <w:rFonts w:hint="eastAsia"/>
                <w:szCs w:val="21"/>
              </w:rPr>
              <w:t>件以上。</w:t>
            </w:r>
          </w:p>
          <w:p>
            <w:pPr>
              <w:keepNext w:val="0"/>
              <w:keepLines w:val="0"/>
              <w:pageBreakBefore w:val="0"/>
              <w:wordWrap/>
              <w:overflowPunct/>
              <w:topLinePunct w:val="0"/>
              <w:bidi w:val="0"/>
              <w:spacing w:line="240" w:lineRule="auto"/>
              <w:ind w:firstLine="420" w:firstLineChars="200"/>
              <w:rPr>
                <w:rFonts w:hint="eastAsia"/>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3" w:hRule="atLeast"/>
        </w:trPr>
        <w:tc>
          <w:tcPr>
            <w:tcW w:w="1194" w:type="dxa"/>
            <w:vAlign w:val="center"/>
          </w:tcPr>
          <w:p>
            <w:pPr>
              <w:keepNext w:val="0"/>
              <w:keepLines w:val="0"/>
              <w:pageBreakBefore w:val="0"/>
              <w:wordWrap/>
              <w:overflowPunct/>
              <w:topLinePunct w:val="0"/>
              <w:bidi w:val="0"/>
              <w:spacing w:line="247" w:lineRule="auto"/>
              <w:ind w:left="502" w:right="62" w:hanging="418"/>
              <w:rPr>
                <w:szCs w:val="21"/>
              </w:rPr>
            </w:pPr>
            <w:r>
              <w:rPr>
                <w:spacing w:val="-12"/>
                <w:szCs w:val="21"/>
              </w:rPr>
              <w:t>榜单效益目</w:t>
            </w:r>
            <w:r>
              <w:rPr>
                <w:szCs w:val="21"/>
              </w:rPr>
              <w:t xml:space="preserve"> 标</w:t>
            </w:r>
          </w:p>
        </w:tc>
        <w:tc>
          <w:tcPr>
            <w:tcW w:w="7772"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6" w:firstLine="420" w:firstLineChars="200"/>
              <w:textAlignment w:val="baseline"/>
              <w:rPr>
                <w:szCs w:val="21"/>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6" w:firstLine="420" w:firstLineChars="200"/>
              <w:textAlignment w:val="baseline"/>
              <w:rPr>
                <w:szCs w:val="21"/>
              </w:rPr>
            </w:pPr>
            <w:r>
              <w:rPr>
                <w:rFonts w:hint="eastAsia"/>
                <w:szCs w:val="21"/>
              </w:rPr>
              <w:t>项目围绕碳中和关键技术、以绿色发展为指导原则，以绿色生物制造关键技术需求为导向，重点开发生物基材料及单体制备技术，符合国家《“十四五”生物经济发展规划》和《“十四五”工业绿色发展规划》等相关政策，符合国家生物能源推动低碳转型的战略需求。</w:t>
            </w:r>
          </w:p>
          <w:p>
            <w:pPr>
              <w:keepNext w:val="0"/>
              <w:keepLines w:val="0"/>
              <w:pageBreakBefore w:val="0"/>
              <w:widowControl/>
              <w:kinsoku w:val="0"/>
              <w:wordWrap/>
              <w:overflowPunct/>
              <w:topLinePunct w:val="0"/>
              <w:autoSpaceDE w:val="0"/>
              <w:autoSpaceDN w:val="0"/>
              <w:bidi w:val="0"/>
              <w:adjustRightInd w:val="0"/>
              <w:snapToGrid w:val="0"/>
              <w:spacing w:line="240" w:lineRule="auto"/>
              <w:ind w:left="6" w:firstLine="420" w:firstLineChars="200"/>
              <w:textAlignment w:val="baseline"/>
              <w:rPr>
                <w:szCs w:val="21"/>
              </w:rPr>
            </w:pPr>
            <w:r>
              <w:rPr>
                <w:rFonts w:hint="eastAsia"/>
                <w:szCs w:val="21"/>
              </w:rPr>
              <w:t>通过国家标准制定、项目专利授权使用、技术指导与服务、人才培养和工程技术示范与应用等多种方式，显著提升我国生物基材料产业化发展的新动能与新理念，在全球范围内建立我国绿色制造技术优势与核心竞争力，率先形成规模生产，确定我国生物基材料的引领地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6" w:firstLine="420" w:firstLineChars="200"/>
              <w:textAlignment w:val="baseline"/>
              <w:rPr>
                <w:szCs w:val="21"/>
              </w:rPr>
            </w:pPr>
            <w:r>
              <w:rPr>
                <w:rFonts w:hint="eastAsia"/>
                <w:szCs w:val="21"/>
              </w:rPr>
              <w:t>项目实施所获得的成果具备系统性强、技术含量高、市场竞争力强等特点，具有广阔的产业化应用前景，可在生物基材料领域进行复制推广，解决石油基向生物基材料制备的系统性替代，大幅减少石油基 材料对环境的增碳效应，成果示范推广后，预期可获得减损、节支、增效等经济效益 100 余亿元。</w:t>
            </w:r>
          </w:p>
          <w:p>
            <w:pPr>
              <w:keepNext w:val="0"/>
              <w:keepLines w:val="0"/>
              <w:pageBreakBefore w:val="0"/>
              <w:widowControl/>
              <w:kinsoku w:val="0"/>
              <w:wordWrap/>
              <w:overflowPunct/>
              <w:topLinePunct w:val="0"/>
              <w:autoSpaceDE w:val="0"/>
              <w:autoSpaceDN w:val="0"/>
              <w:bidi w:val="0"/>
              <w:adjustRightInd w:val="0"/>
              <w:snapToGrid w:val="0"/>
              <w:spacing w:line="240" w:lineRule="auto"/>
              <w:ind w:left="6" w:firstLine="420" w:firstLineChars="200"/>
              <w:textAlignment w:val="baseline"/>
              <w:rPr>
                <w:szCs w:val="21"/>
              </w:rPr>
            </w:pPr>
            <w:r>
              <w:rPr>
                <w:rFonts w:hint="eastAsia"/>
                <w:szCs w:val="21"/>
              </w:rPr>
              <w:t>项目实施所发挥的科技引领和产业支撑作用以及生物质的资源化利用，可有效保障产业链的良性循环，减少环境污染，助力“碳减排”生产模式，实现产业与生态的相互促进和健康可持续发展。</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DF0883"/>
    <w:multiLevelType w:val="multilevel"/>
    <w:tmpl w:val="6CDF0883"/>
    <w:lvl w:ilvl="0" w:tentative="0">
      <w:start w:val="1"/>
      <w:numFmt w:val="decimal"/>
      <w:lvlText w:val="%1."/>
      <w:lvlJc w:val="left"/>
      <w:pPr>
        <w:ind w:left="373" w:hanging="360"/>
      </w:pPr>
      <w:rPr>
        <w:rFonts w:hint="default"/>
      </w:rPr>
    </w:lvl>
    <w:lvl w:ilvl="1" w:tentative="0">
      <w:start w:val="1"/>
      <w:numFmt w:val="lowerLetter"/>
      <w:lvlText w:val="%2)"/>
      <w:lvlJc w:val="left"/>
      <w:pPr>
        <w:ind w:left="853" w:hanging="420"/>
      </w:pPr>
    </w:lvl>
    <w:lvl w:ilvl="2" w:tentative="0">
      <w:start w:val="1"/>
      <w:numFmt w:val="lowerRoman"/>
      <w:lvlText w:val="%3."/>
      <w:lvlJc w:val="right"/>
      <w:pPr>
        <w:ind w:left="1273" w:hanging="420"/>
      </w:pPr>
    </w:lvl>
    <w:lvl w:ilvl="3" w:tentative="0">
      <w:start w:val="1"/>
      <w:numFmt w:val="decimal"/>
      <w:lvlText w:val="%4."/>
      <w:lvlJc w:val="left"/>
      <w:pPr>
        <w:ind w:left="1693" w:hanging="420"/>
      </w:pPr>
    </w:lvl>
    <w:lvl w:ilvl="4" w:tentative="0">
      <w:start w:val="1"/>
      <w:numFmt w:val="lowerLetter"/>
      <w:lvlText w:val="%5)"/>
      <w:lvlJc w:val="left"/>
      <w:pPr>
        <w:ind w:left="2113" w:hanging="420"/>
      </w:pPr>
    </w:lvl>
    <w:lvl w:ilvl="5" w:tentative="0">
      <w:start w:val="1"/>
      <w:numFmt w:val="lowerRoman"/>
      <w:lvlText w:val="%6."/>
      <w:lvlJc w:val="right"/>
      <w:pPr>
        <w:ind w:left="2533" w:hanging="420"/>
      </w:pPr>
    </w:lvl>
    <w:lvl w:ilvl="6" w:tentative="0">
      <w:start w:val="1"/>
      <w:numFmt w:val="decimal"/>
      <w:lvlText w:val="%7."/>
      <w:lvlJc w:val="left"/>
      <w:pPr>
        <w:ind w:left="2953" w:hanging="420"/>
      </w:pPr>
    </w:lvl>
    <w:lvl w:ilvl="7" w:tentative="0">
      <w:start w:val="1"/>
      <w:numFmt w:val="lowerLetter"/>
      <w:lvlText w:val="%8)"/>
      <w:lvlJc w:val="left"/>
      <w:pPr>
        <w:ind w:left="3373" w:hanging="420"/>
      </w:pPr>
    </w:lvl>
    <w:lvl w:ilvl="8" w:tentative="0">
      <w:start w:val="1"/>
      <w:numFmt w:val="lowerRoman"/>
      <w:lvlText w:val="%9."/>
      <w:lvlJc w:val="right"/>
      <w:pPr>
        <w:ind w:left="379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kNmUxZGFhZDk5YmU4ZjU3OTM5ZmNjMTRkMzhmMDEifQ=="/>
  </w:docVars>
  <w:rsids>
    <w:rsidRoot w:val="1C386AEC"/>
    <w:rsid w:val="002350AC"/>
    <w:rsid w:val="00267B99"/>
    <w:rsid w:val="002B03D9"/>
    <w:rsid w:val="00307D99"/>
    <w:rsid w:val="004D4773"/>
    <w:rsid w:val="004F2303"/>
    <w:rsid w:val="004F4929"/>
    <w:rsid w:val="00531DE7"/>
    <w:rsid w:val="005B574C"/>
    <w:rsid w:val="006F3082"/>
    <w:rsid w:val="00C224A1"/>
    <w:rsid w:val="00C23C68"/>
    <w:rsid w:val="00CC4743"/>
    <w:rsid w:val="00D34DD3"/>
    <w:rsid w:val="00F130B2"/>
    <w:rsid w:val="00F317E7"/>
    <w:rsid w:val="00F615F1"/>
    <w:rsid w:val="00FC4D09"/>
    <w:rsid w:val="14BC71D1"/>
    <w:rsid w:val="1C386AEC"/>
    <w:rsid w:val="CFFCDF87"/>
    <w:rsid w:val="FEFE4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customStyle="1" w:styleId="6">
    <w:name w:val="Table Normal"/>
    <w:unhideWhenUsed/>
    <w:qFormat/>
    <w:uiPriority w:val="0"/>
    <w:tblPr>
      <w:tblCellMar>
        <w:top w:w="0" w:type="dxa"/>
        <w:left w:w="0" w:type="dxa"/>
        <w:bottom w:w="0" w:type="dxa"/>
        <w:right w:w="0" w:type="dxa"/>
      </w:tblCellMar>
    </w:tblPr>
  </w:style>
  <w:style w:type="character" w:customStyle="1" w:styleId="7">
    <w:name w:val="页眉 字符"/>
    <w:basedOn w:val="5"/>
    <w:link w:val="3"/>
    <w:qFormat/>
    <w:uiPriority w:val="0"/>
    <w:rPr>
      <w:rFonts w:ascii="Times New Roman" w:hAnsi="Times New Roman" w:eastAsia="宋体" w:cs="Times New Roman"/>
      <w:kern w:val="2"/>
      <w:sz w:val="18"/>
      <w:szCs w:val="18"/>
    </w:rPr>
  </w:style>
  <w:style w:type="character" w:customStyle="1" w:styleId="8">
    <w:name w:val="页脚 字符"/>
    <w:basedOn w:val="5"/>
    <w:link w:val="2"/>
    <w:qFormat/>
    <w:uiPriority w:val="0"/>
    <w:rPr>
      <w:rFonts w:ascii="Times New Roman" w:hAnsi="Times New Roman" w:eastAsia="宋体" w:cs="Times New Roman"/>
      <w:kern w:val="2"/>
      <w:sz w:val="18"/>
      <w:szCs w:val="18"/>
    </w:rPr>
  </w:style>
  <w:style w:type="paragraph" w:customStyle="1"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618</Words>
  <Characters>3529</Characters>
  <Lines>29</Lines>
  <Paragraphs>8</Paragraphs>
  <TotalTime>4</TotalTime>
  <ScaleCrop>false</ScaleCrop>
  <LinksUpToDate>false</LinksUpToDate>
  <CharactersWithSpaces>4139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2023-09-18T17:56:00Z</dcterms:created>
  <dc:creator>钱大大</dc:creator>
  <cp:lastModifiedBy>禤维强</cp:lastModifiedBy>
  <dcterms:modified xsi:type="dcterms:W3CDTF">2023-10-26T19:19:31Z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481432C36DFA4A748792C18CA3852F31_11</vt:lpwstr>
  </property>
</Properties>
</file>