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1" w:line="220" w:lineRule="auto"/>
        <w:ind w:left="3394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8"/>
          <w:sz w:val="44"/>
          <w:szCs w:val="44"/>
        </w:rPr>
        <w:t>项目榜单</w:t>
      </w:r>
    </w:p>
    <w:p>
      <w:pPr>
        <w:spacing w:line="30" w:lineRule="exact"/>
      </w:pPr>
    </w:p>
    <w:tbl>
      <w:tblPr>
        <w:tblStyle w:val="6"/>
        <w:tblW w:w="89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4"/>
        <w:gridCol w:w="3325"/>
        <w:gridCol w:w="1593"/>
        <w:gridCol w:w="285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194" w:type="dxa"/>
            <w:vAlign w:val="center"/>
          </w:tcPr>
          <w:p>
            <w:pPr>
              <w:spacing w:before="208" w:line="219" w:lineRule="auto"/>
              <w:jc w:val="center"/>
              <w:rPr>
                <w:szCs w:val="21"/>
              </w:rPr>
            </w:pPr>
            <w:r>
              <w:rPr>
                <w:spacing w:val="-2"/>
                <w:szCs w:val="21"/>
              </w:rPr>
              <w:t>榜单名称</w:t>
            </w:r>
          </w:p>
        </w:tc>
        <w:tc>
          <w:tcPr>
            <w:tcW w:w="777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环烯烃共聚物（C</w:t>
            </w:r>
            <w:r>
              <w:t>OC</w:t>
            </w:r>
            <w:r>
              <w:rPr>
                <w:rFonts w:hint="eastAsia"/>
              </w:rPr>
              <w:t>）的应用开发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194" w:type="dxa"/>
            <w:vAlign w:val="center"/>
          </w:tcPr>
          <w:p>
            <w:pPr>
              <w:spacing w:before="72" w:line="248" w:lineRule="auto"/>
              <w:ind w:left="396" w:right="62" w:hanging="311"/>
              <w:rPr>
                <w:szCs w:val="21"/>
              </w:rPr>
            </w:pPr>
            <w:r>
              <w:rPr>
                <w:spacing w:val="-2"/>
                <w:szCs w:val="21"/>
              </w:rPr>
              <w:t>专业领域及</w:t>
            </w:r>
            <w:r>
              <w:rPr>
                <w:szCs w:val="21"/>
              </w:rPr>
              <w:t xml:space="preserve"> </w:t>
            </w:r>
            <w:r>
              <w:rPr>
                <w:spacing w:val="10"/>
                <w:szCs w:val="21"/>
              </w:rPr>
              <w:t>方向</w:t>
            </w:r>
          </w:p>
        </w:tc>
        <w:tc>
          <w:tcPr>
            <w:tcW w:w="777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石化化工领域，</w:t>
            </w:r>
            <w:r>
              <w:t>特种茂金属聚烯烃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194" w:type="dxa"/>
            <w:vAlign w:val="center"/>
          </w:tcPr>
          <w:p>
            <w:pPr>
              <w:spacing w:before="78" w:line="220" w:lineRule="auto"/>
              <w:ind w:left="21"/>
              <w:jc w:val="center"/>
              <w:rPr>
                <w:szCs w:val="21"/>
              </w:rPr>
            </w:pPr>
            <w:r>
              <w:rPr>
                <w:spacing w:val="-7"/>
                <w:szCs w:val="21"/>
              </w:rPr>
              <w:t>启动</w:t>
            </w:r>
            <w:r>
              <w:rPr>
                <w:spacing w:val="3"/>
                <w:szCs w:val="21"/>
              </w:rPr>
              <w:t>时间</w:t>
            </w:r>
          </w:p>
        </w:tc>
        <w:tc>
          <w:tcPr>
            <w:tcW w:w="332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024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593" w:type="dxa"/>
            <w:vAlign w:val="center"/>
          </w:tcPr>
          <w:p>
            <w:pPr>
              <w:spacing w:before="78" w:line="221" w:lineRule="auto"/>
              <w:ind w:left="15"/>
              <w:jc w:val="center"/>
              <w:rPr>
                <w:szCs w:val="21"/>
              </w:rPr>
            </w:pPr>
            <w:r>
              <w:rPr>
                <w:spacing w:val="-5"/>
                <w:szCs w:val="21"/>
              </w:rPr>
              <w:t>计划</w:t>
            </w:r>
            <w:r>
              <w:rPr>
                <w:spacing w:val="4"/>
                <w:szCs w:val="21"/>
              </w:rPr>
              <w:t>完成时间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026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12</w:t>
            </w:r>
            <w:r>
              <w:rPr>
                <w:rFonts w:hint="eastAsia"/>
                <w:szCs w:val="21"/>
              </w:rPr>
              <w:t>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2" w:hRule="atLeast"/>
        </w:trPr>
        <w:tc>
          <w:tcPr>
            <w:tcW w:w="1194" w:type="dxa"/>
            <w:vAlign w:val="center"/>
          </w:tcPr>
          <w:p>
            <w:pPr>
              <w:spacing w:before="68" w:line="247" w:lineRule="auto"/>
              <w:ind w:left="504" w:right="62" w:hanging="420"/>
              <w:rPr>
                <w:szCs w:val="21"/>
              </w:rPr>
            </w:pPr>
            <w:r>
              <w:rPr>
                <w:spacing w:val="-2"/>
                <w:szCs w:val="21"/>
              </w:rPr>
              <w:t>榜单具体内</w:t>
            </w:r>
            <w:r>
              <w:rPr>
                <w:szCs w:val="21"/>
              </w:rPr>
              <w:t xml:space="preserve"> 容</w:t>
            </w:r>
          </w:p>
        </w:tc>
        <w:tc>
          <w:tcPr>
            <w:tcW w:w="7772" w:type="dxa"/>
            <w:gridSpan w:val="3"/>
            <w:vAlign w:val="center"/>
          </w:tcPr>
          <w:p>
            <w:r>
              <w:rPr>
                <w:rFonts w:hint="eastAsia"/>
              </w:rPr>
              <w:t>设计降冰片烯单体连续合成产业化装置工艺包，建成达到5</w:t>
            </w:r>
            <w:r>
              <w:t>000</w:t>
            </w:r>
            <w:r>
              <w:rPr>
                <w:rFonts w:hint="eastAsia"/>
              </w:rPr>
              <w:t>吨/年产能的微通道反应器产业化装置，用于满足聚合级降冰片烯单体的合成。</w:t>
            </w:r>
          </w:p>
          <w:p>
            <w:r>
              <w:rPr>
                <w:rFonts w:hint="eastAsia"/>
              </w:rPr>
              <w:t>降冰片烯单体纯度≥9</w:t>
            </w:r>
            <w:r>
              <w:t>9.7%</w:t>
            </w:r>
            <w:r>
              <w:rPr>
                <w:rFonts w:hint="eastAsia"/>
              </w:rPr>
              <w:t>，满足聚合级要求，产能达到</w:t>
            </w:r>
            <w:r>
              <w:t xml:space="preserve">5000 </w:t>
            </w:r>
            <w:r>
              <w:rPr>
                <w:rFonts w:hint="eastAsia"/>
              </w:rPr>
              <w:t>吨</w:t>
            </w:r>
            <w:r>
              <w:t>/</w:t>
            </w:r>
            <w:r>
              <w:rPr>
                <w:rFonts w:hint="eastAsia"/>
              </w:rPr>
              <w:t>年以上。</w:t>
            </w:r>
          </w:p>
          <w:p>
            <w:r>
              <w:rPr>
                <w:rFonts w:hint="eastAsia"/>
              </w:rPr>
              <w:t>设计COC连续溶液聚合产业化装置工艺包，</w:t>
            </w:r>
            <w:r>
              <w:t xml:space="preserve"> </w:t>
            </w:r>
            <w:r>
              <w:rPr>
                <w:rFonts w:hint="eastAsia"/>
              </w:rPr>
              <w:t>建成达到5</w:t>
            </w:r>
            <w:r>
              <w:t>000</w:t>
            </w:r>
            <w:r>
              <w:rPr>
                <w:rFonts w:hint="eastAsia"/>
              </w:rPr>
              <w:t>吨/年产能的COC连续溶液聚合产业化装置和达到5</w:t>
            </w:r>
            <w:r>
              <w:t>000</w:t>
            </w:r>
            <w:r>
              <w:rPr>
                <w:rFonts w:hint="eastAsia"/>
              </w:rPr>
              <w:t xml:space="preserve">吨/年产能的聚合物脱挥（灰）工艺装置。打通原料精制-连续进料-聚合-反应终止-催化剂脱除-脱挥造粒-溶剂回收整个连续聚合工艺流程。 </w:t>
            </w:r>
          </w:p>
          <w:p>
            <w:r>
              <w:rPr>
                <w:rFonts w:hint="eastAsia"/>
              </w:rPr>
              <w:t>满足低溶出物及无机杂质</w:t>
            </w:r>
            <w:r>
              <w:t>&lt;150 ppm</w:t>
            </w:r>
            <w:r>
              <w:rPr>
                <w:rFonts w:hint="eastAsia"/>
              </w:rPr>
              <w:t>。环烯烃共聚物产能</w:t>
            </w:r>
            <w:r>
              <w:t>5000</w:t>
            </w:r>
            <w:r>
              <w:rPr>
                <w:rFonts w:hint="eastAsia"/>
              </w:rPr>
              <w:t>吨/年以上。</w:t>
            </w:r>
          </w:p>
          <w:p>
            <w:r>
              <w:rPr>
                <w:rFonts w:hint="eastAsia"/>
              </w:rPr>
              <w:t>茂金属催化剂催化活性≥1</w:t>
            </w:r>
            <w:r>
              <w:t>0</w:t>
            </w:r>
            <w:r>
              <w:rPr>
                <w:vertAlign w:val="superscript"/>
              </w:rPr>
              <w:t>7</w:t>
            </w:r>
            <w:r>
              <w:t xml:space="preserve"> </w:t>
            </w:r>
            <w:r>
              <w:rPr>
                <w:rFonts w:hint="eastAsia"/>
              </w:rPr>
              <w:t>g</w:t>
            </w:r>
            <w:r>
              <w:t>/(mol</w:t>
            </w:r>
            <w:r>
              <w:rPr>
                <w:vertAlign w:val="subscript"/>
              </w:rPr>
              <w:t>Zr</w:t>
            </w:r>
            <w:r>
              <w:rPr>
                <w:rFonts w:hint="eastAsia"/>
              </w:rPr>
              <w:t>·</w:t>
            </w:r>
            <w:r>
              <w:t>h),</w:t>
            </w:r>
            <w:r>
              <w:rPr>
                <w:rFonts w:hint="eastAsia"/>
              </w:rPr>
              <w:t>耐温性＞</w:t>
            </w:r>
            <w:r>
              <w:t>90</w:t>
            </w:r>
            <w:r>
              <w:rPr>
                <w:rFonts w:hint="eastAsia"/>
              </w:rPr>
              <w:t>℃。</w:t>
            </w:r>
          </w:p>
          <w:p>
            <w:r>
              <w:rPr>
                <w:rFonts w:hint="eastAsia"/>
              </w:rPr>
              <w:t>环烯烃共聚合物的性能对标TOPAS先进聚合物公司的6</w:t>
            </w:r>
            <w:r>
              <w:t>013</w:t>
            </w:r>
            <w:r>
              <w:rPr>
                <w:rFonts w:hint="eastAsia"/>
              </w:rPr>
              <w:t>牌号，具体而言，环烯烃共聚物中环烯烃插入率</w:t>
            </w:r>
            <w:r>
              <w:t>&gt;44 mol%</w:t>
            </w:r>
            <w:r>
              <w:rPr>
                <w:rFonts w:hint="eastAsia"/>
              </w:rPr>
              <w:t>，透光率≥</w:t>
            </w:r>
            <w:r>
              <w:t>91%</w:t>
            </w:r>
            <w:r>
              <w:rPr>
                <w:rFonts w:hint="eastAsia"/>
              </w:rPr>
              <w:t>，吸水率（</w:t>
            </w:r>
            <w:r>
              <w:t>%</w:t>
            </w:r>
            <w:r>
              <w:rPr>
                <w:rFonts w:hint="eastAsia"/>
              </w:rPr>
              <w:t>）≤</w:t>
            </w:r>
            <w:r>
              <w:t>0.01</w:t>
            </w:r>
            <w:r>
              <w:rPr>
                <w:rFonts w:hint="eastAsia"/>
              </w:rPr>
              <w:t>，折射率</w:t>
            </w:r>
            <w:r>
              <w:t>&gt;1.52</w:t>
            </w:r>
            <w:r>
              <w:rPr>
                <w:rFonts w:hint="eastAsia"/>
              </w:rPr>
              <w:t>，热变形温度</w:t>
            </w:r>
            <w:r>
              <w:t>&gt;130℃</w:t>
            </w:r>
            <w:r>
              <w:rPr>
                <w:rFonts w:hint="eastAsia"/>
              </w:rPr>
              <w:t>，玻璃化转变温度＞</w:t>
            </w:r>
            <w:r>
              <w:t>139℃</w:t>
            </w:r>
            <w:r>
              <w:rPr>
                <w:rFonts w:hint="eastAsia"/>
              </w:rPr>
              <w:t>，</w:t>
            </w:r>
            <w:r>
              <w:t>拉伸模量</w:t>
            </w:r>
            <w:r>
              <w:rPr>
                <w:rFonts w:hint="eastAsia"/>
              </w:rPr>
              <w:t>≥2</w:t>
            </w:r>
            <w:r>
              <w:t xml:space="preserve">500 MPa </w:t>
            </w:r>
            <w:r>
              <w:rPr>
                <w:rFonts w:hint="eastAsia"/>
              </w:rPr>
              <w:t>(纵向</w:t>
            </w:r>
            <w:r>
              <w:t>),</w:t>
            </w:r>
            <w:r>
              <w:rPr>
                <w:rFonts w:hint="eastAsia"/>
              </w:rPr>
              <w:t xml:space="preserve"> </w:t>
            </w:r>
            <w:r>
              <w:t>≥2300 MP</w:t>
            </w:r>
            <w:r>
              <w:rPr>
                <w:rFonts w:hint="eastAsia"/>
              </w:rPr>
              <w:t>a</w:t>
            </w:r>
            <w:r>
              <w:t xml:space="preserve"> </w:t>
            </w:r>
            <w:r>
              <w:rPr>
                <w:rFonts w:hint="eastAsia"/>
              </w:rPr>
              <w:t>(横向)。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3" w:hRule="atLeast"/>
        </w:trPr>
        <w:tc>
          <w:tcPr>
            <w:tcW w:w="1194" w:type="dxa"/>
            <w:vAlign w:val="center"/>
          </w:tcPr>
          <w:p>
            <w:pPr>
              <w:spacing w:before="69" w:line="247" w:lineRule="auto"/>
              <w:ind w:left="502" w:right="62" w:hanging="418"/>
              <w:rPr>
                <w:szCs w:val="21"/>
              </w:rPr>
            </w:pPr>
            <w:r>
              <w:rPr>
                <w:spacing w:val="-12"/>
                <w:szCs w:val="21"/>
              </w:rPr>
              <w:t>榜单效益目</w:t>
            </w:r>
            <w:r>
              <w:rPr>
                <w:szCs w:val="21"/>
              </w:rPr>
              <w:t xml:space="preserve"> 标</w:t>
            </w:r>
          </w:p>
        </w:tc>
        <w:tc>
          <w:tcPr>
            <w:tcW w:w="7772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69" w:lineRule="auto"/>
              <w:ind w:left="6" w:hanging="6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预灌封注射器专用环烯烃共聚物(COC)高性能医用高分子关键材料及生产技术,实现完全拥有自主知识产权的国产化成套技术、装备及相关系列产品。课题完成后,形成具有自主知识产权的医用级高分子材料设计、合成与应用技术，COC产能</w:t>
            </w:r>
            <w:r>
              <w:rPr>
                <w:szCs w:val="21"/>
              </w:rPr>
              <w:t>8</w:t>
            </w:r>
            <w:r>
              <w:rPr>
                <w:rFonts w:hint="eastAsia"/>
                <w:szCs w:val="21"/>
              </w:rPr>
              <w:t>0 吨/年。将打破关键医用高分子材料的国外垄断,突破“卡脖子”问题。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69" w:lineRule="auto"/>
              <w:ind w:left="6" w:hanging="6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课题从自主催化剂的设计筛选制备、单体的合成、医用级关键材料的制备、到材料的应用研究,将形成具有自主知识产权的专利、技术工艺包等全套技术,对新型材料的研发具有重要科学价值。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69" w:lineRule="auto"/>
              <w:ind w:left="6" w:hanging="6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新型高分子医药包装材料 COC 的开发,将替代中硼硅玻璃类传统医药包材,将使中国在高分子医药包装领域实现历史性突破,填补国内空白,替代进口,整体降低医药包装产品的价格,提升医药包装产业在国际医药包装行业中的地位。随着人们生活水平的提高,预防性疫苗(新冠疫苗、乙肝疫苗、流感疫苗等)将成为个人的必需品。对保障国人的生命健康同样具有重要意义,将会产生巨大的经济及社会效益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kNmUxZGFhZDk5YmU4ZjU3OTM5ZmNjMTRkMzhmMDEifQ=="/>
  </w:docVars>
  <w:rsids>
    <w:rsidRoot w:val="1C386AEC"/>
    <w:rsid w:val="0000185A"/>
    <w:rsid w:val="00077CB5"/>
    <w:rsid w:val="000D593B"/>
    <w:rsid w:val="001063C2"/>
    <w:rsid w:val="00226439"/>
    <w:rsid w:val="00294BDC"/>
    <w:rsid w:val="002C6D66"/>
    <w:rsid w:val="003E7B17"/>
    <w:rsid w:val="004973E6"/>
    <w:rsid w:val="00500679"/>
    <w:rsid w:val="005C3215"/>
    <w:rsid w:val="005F31F3"/>
    <w:rsid w:val="005F5954"/>
    <w:rsid w:val="0072421E"/>
    <w:rsid w:val="008C2611"/>
    <w:rsid w:val="008E2021"/>
    <w:rsid w:val="00933688"/>
    <w:rsid w:val="0093437F"/>
    <w:rsid w:val="009B1971"/>
    <w:rsid w:val="009B206D"/>
    <w:rsid w:val="00A06DAA"/>
    <w:rsid w:val="00BC4F25"/>
    <w:rsid w:val="00C20538"/>
    <w:rsid w:val="00C91614"/>
    <w:rsid w:val="1C386AEC"/>
    <w:rsid w:val="3EAF950A"/>
    <w:rsid w:val="44FF1ED6"/>
    <w:rsid w:val="4A6629E8"/>
    <w:rsid w:val="5A9D1CCE"/>
    <w:rsid w:val="BBA7EA22"/>
    <w:rsid w:val="F7EDA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555</Words>
  <Characters>3170</Characters>
  <Lines>26</Lines>
  <Paragraphs>7</Paragraphs>
  <TotalTime>276</TotalTime>
  <ScaleCrop>false</ScaleCrop>
  <LinksUpToDate>false</LinksUpToDate>
  <CharactersWithSpaces>3718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2023-08-04T23:04:00Z</dcterms:created>
  <dc:creator>钱大大</dc:creator>
  <cp:lastModifiedBy>禤维强</cp:lastModifiedBy>
  <dcterms:modified xsi:type="dcterms:W3CDTF">2023-10-26T19:20:59Z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481432C36DFA4A748792C18CA3852F31_11</vt:lpwstr>
  </property>
</Properties>
</file>