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ind w:left="0" w:leftChars="0" w:firstLine="0" w:firstLineChars="0"/>
        <w:rPr>
          <w:rFonts w:hint="default" w:ascii="仿宋_GB2312" w:eastAsia="仿宋_GB2312"/>
          <w:bCs/>
          <w:color w:val="000000" w:themeColor="text1"/>
          <w:sz w:val="32"/>
          <w:szCs w:val="32"/>
          <w:lang w:val="en-US" w:eastAsia="zh-CN"/>
          <w14:textFill>
            <w14:solidFill>
              <w14:schemeClr w14:val="tx1"/>
            </w14:solidFill>
          </w14:textFill>
        </w:rPr>
      </w:pPr>
      <w:bookmarkStart w:id="0" w:name="_GoBack"/>
      <w:bookmarkEnd w:id="0"/>
      <w:r>
        <w:rPr>
          <w:rFonts w:hint="default" w:ascii="仿宋_GB2312" w:eastAsia="仿宋_GB2312"/>
          <w:bCs/>
          <w:color w:val="000000" w:themeColor="text1"/>
          <w:sz w:val="32"/>
          <w:szCs w:val="32"/>
          <w:lang w:val="en-US" w:eastAsia="zh-CN"/>
          <w14:textFill>
            <w14:solidFill>
              <w14:schemeClr w14:val="tx1"/>
            </w14:solidFill>
          </w14:textFill>
        </w:rPr>
        <w:drawing>
          <wp:inline distT="0" distB="0" distL="114300" distR="114300">
            <wp:extent cx="10262235" cy="7093585"/>
            <wp:effectExtent l="0" t="0" r="5715" b="12065"/>
            <wp:docPr id="5" name="图片 5" descr="公示栏示范（文件资料部分）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公示栏示范（文件资料部分）_00"/>
                    <pic:cNvPicPr>
                      <a:picLocks noChangeAspect="1"/>
                    </pic:cNvPicPr>
                  </pic:nvPicPr>
                  <pic:blipFill>
                    <a:blip r:embed="rId4"/>
                    <a:srcRect l="1625" t="9741" r="1576" b="9685"/>
                    <a:stretch>
                      <a:fillRect/>
                    </a:stretch>
                  </pic:blipFill>
                  <pic:spPr>
                    <a:xfrm>
                      <a:off x="0" y="0"/>
                      <a:ext cx="10262235" cy="7093585"/>
                    </a:xfrm>
                    <a:prstGeom prst="rect">
                      <a:avLst/>
                    </a:prstGeom>
                  </pic:spPr>
                </pic:pic>
              </a:graphicData>
            </a:graphic>
          </wp:inline>
        </w:drawing>
      </w:r>
    </w:p>
    <w:p>
      <w:pPr>
        <w:pStyle w:val="6"/>
        <w:ind w:left="0" w:leftChars="0" w:firstLine="0" w:firstLineChars="0"/>
        <w:rPr>
          <w:rFonts w:hint="default" w:ascii="仿宋_GB2312" w:eastAsia="仿宋_GB2312"/>
          <w:bCs/>
          <w:color w:val="000000" w:themeColor="text1"/>
          <w:sz w:val="32"/>
          <w:szCs w:val="32"/>
          <w:lang w:val="en-US" w:eastAsia="zh-CN"/>
          <w14:textFill>
            <w14:solidFill>
              <w14:schemeClr w14:val="tx1"/>
            </w14:solidFill>
          </w14:textFill>
        </w:rPr>
        <w:sectPr>
          <w:pgSz w:w="16838" w:h="11906" w:orient="landscape"/>
          <w:pgMar w:top="283" w:right="283" w:bottom="283" w:left="283" w:header="851" w:footer="992" w:gutter="0"/>
          <w:cols w:space="425" w:num="1"/>
          <w:docGrid w:type="lines" w:linePitch="312" w:charSpace="0"/>
        </w:sectPr>
      </w:pPr>
      <w:r>
        <w:rPr>
          <w:rFonts w:hint="default" w:ascii="仿宋_GB2312" w:eastAsia="仿宋_GB2312"/>
          <w:bCs/>
          <w:color w:val="000000" w:themeColor="text1"/>
          <w:sz w:val="32"/>
          <w:szCs w:val="32"/>
          <w:lang w:val="en-US" w:eastAsia="zh-CN"/>
          <w14:textFill>
            <w14:solidFill>
              <w14:schemeClr w14:val="tx1"/>
            </w14:solidFill>
          </w14:textFill>
        </w:rPr>
        <w:drawing>
          <wp:inline distT="0" distB="0" distL="114300" distR="114300">
            <wp:extent cx="10198735" cy="7092315"/>
            <wp:effectExtent l="0" t="0" r="12065" b="13335"/>
            <wp:docPr id="1" name="图片 1" descr="公示栏示范（图纸及阳光提示部分）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示栏示范（图纸及阳光提示部分）_00"/>
                    <pic:cNvPicPr>
                      <a:picLocks noChangeAspect="1"/>
                    </pic:cNvPicPr>
                  </pic:nvPicPr>
                  <pic:blipFill>
                    <a:blip r:embed="rId5"/>
                    <a:srcRect l="3806" t="2259" r="4056" b="2278"/>
                    <a:stretch>
                      <a:fillRect/>
                    </a:stretch>
                  </pic:blipFill>
                  <pic:spPr>
                    <a:xfrm>
                      <a:off x="0" y="0"/>
                      <a:ext cx="10198735" cy="7092315"/>
                    </a:xfrm>
                    <a:prstGeom prst="rect">
                      <a:avLst/>
                    </a:prstGeom>
                  </pic:spPr>
                </pic:pic>
              </a:graphicData>
            </a:graphic>
          </wp:inline>
        </w:drawing>
      </w:r>
    </w:p>
    <w:tbl>
      <w:tblPr>
        <w:tblStyle w:val="3"/>
        <w:tblW w:w="957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57"/>
        <w:gridCol w:w="698"/>
        <w:gridCol w:w="457"/>
        <w:gridCol w:w="3432"/>
        <w:gridCol w:w="45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9573" w:type="dxa"/>
            <w:gridSpan w:val="5"/>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附件3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4" w:hRule="atLeast"/>
        </w:trPr>
        <w:tc>
          <w:tcPr>
            <w:tcW w:w="9573" w:type="dxa"/>
            <w:gridSpan w:val="5"/>
            <w:tcBorders>
              <w:top w:val="nil"/>
              <w:left w:val="nil"/>
              <w:bottom w:val="single" w:color="000000" w:sz="4" w:space="0"/>
              <w:right w:val="nil"/>
            </w:tcBorders>
            <w:shd w:val="clear" w:color="auto" w:fill="auto"/>
            <w:noWrap/>
            <w:vAlign w:val="center"/>
          </w:tcPr>
          <w:p>
            <w:pPr>
              <w:keepNext w:val="0"/>
              <w:keepLines w:val="0"/>
              <w:widowControl/>
              <w:suppressLineNumbers w:val="0"/>
              <w:jc w:val="center"/>
              <w:textAlignment w:val="center"/>
              <w:rPr>
                <w:rFonts w:ascii="方正小标宋简体" w:hAnsi="方正小标宋简体" w:eastAsia="方正小标宋简体" w:cs="方正小标宋简体"/>
                <w:b/>
                <w:bCs/>
                <w:i w:val="0"/>
                <w:iCs w:val="0"/>
                <w:color w:val="000000"/>
                <w:sz w:val="44"/>
                <w:szCs w:val="44"/>
                <w:u w:val="none"/>
              </w:rPr>
            </w:pPr>
            <w:r>
              <w:rPr>
                <w:rFonts w:hint="eastAsia" w:ascii="方正小标宋简体" w:hAnsi="方正小标宋简体" w:eastAsia="方正小标宋简体" w:cs="方正小标宋简体"/>
                <w:b/>
                <w:bCs/>
                <w:i w:val="0"/>
                <w:iCs w:val="0"/>
                <w:color w:val="000000"/>
                <w:kern w:val="0"/>
                <w:sz w:val="44"/>
                <w:szCs w:val="44"/>
                <w:u w:val="none"/>
                <w:lang w:val="en-US" w:eastAsia="zh-CN" w:bidi="ar"/>
              </w:rPr>
              <w:t>江门市新建商品房销售现场信息公示明细表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公示位置</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编号</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公示内容</w:t>
            </w:r>
          </w:p>
        </w:tc>
        <w:tc>
          <w:tcPr>
            <w:tcW w:w="45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公示方式及要求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7" w:hRule="atLeast"/>
        </w:trPr>
        <w:tc>
          <w:tcPr>
            <w:tcW w:w="4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公示栏</w:t>
            </w:r>
          </w:p>
        </w:tc>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栏目一：企业和销售人员信息</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1</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房地产开发企业《营业执照》</w:t>
            </w:r>
          </w:p>
        </w:tc>
        <w:tc>
          <w:tcPr>
            <w:tcW w:w="45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正本，复印件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7"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2</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《房地产开发企业资质证书》</w:t>
            </w:r>
          </w:p>
        </w:tc>
        <w:tc>
          <w:tcPr>
            <w:tcW w:w="45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副本，复印件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3</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房地产经纪机构《营业执照》</w:t>
            </w:r>
          </w:p>
        </w:tc>
        <w:tc>
          <w:tcPr>
            <w:tcW w:w="45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正本，复印件；经纪服务授权委托书包括委托代理的范围、期限和权限，以及被委托人的权利、义务等信息；本项仅适用于代理销售的项目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6"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4</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房地产经纪机构备案证明文件</w:t>
            </w:r>
          </w:p>
        </w:tc>
        <w:tc>
          <w:tcPr>
            <w:tcW w:w="4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8"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5</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经纪服务授权委托书</w:t>
            </w:r>
          </w:p>
        </w:tc>
        <w:tc>
          <w:tcPr>
            <w:tcW w:w="4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2"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6</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房地产开发企业和房地产经纪机构及其销售人员信息表</w:t>
            </w:r>
          </w:p>
        </w:tc>
        <w:tc>
          <w:tcPr>
            <w:tcW w:w="45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原件；包括企业法定代表人、办公地址和咨询、投诉联系电话，以及销售人员姓名、职务、权限、工号、相片、上岗证明等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栏目二：商品房基本信息</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7</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《广东省商品房预售许可证》</w:t>
            </w:r>
          </w:p>
        </w:tc>
        <w:tc>
          <w:tcPr>
            <w:tcW w:w="45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本项仅适用于预售的项目，预售许可批准后再公示复印件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8</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《江门市商品房现售备案书》</w:t>
            </w:r>
          </w:p>
        </w:tc>
        <w:tc>
          <w:tcPr>
            <w:tcW w:w="45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本项仅适用于现售的项目；现售备案通过后再公示复印件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9</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《商品房权属登记证明书》</w:t>
            </w:r>
          </w:p>
        </w:tc>
        <w:tc>
          <w:tcPr>
            <w:tcW w:w="45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复印件，本项仅适用于车位（库）销售；无需在网站公示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10</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《国有土地使用证》或《不动产权证书》</w:t>
            </w:r>
          </w:p>
        </w:tc>
        <w:tc>
          <w:tcPr>
            <w:tcW w:w="45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复印件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11</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《建设用地规划许可证》</w:t>
            </w:r>
          </w:p>
        </w:tc>
        <w:tc>
          <w:tcPr>
            <w:tcW w:w="45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复印件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12</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《建设工程规划许可证》</w:t>
            </w:r>
          </w:p>
        </w:tc>
        <w:tc>
          <w:tcPr>
            <w:tcW w:w="45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复印件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13</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《建筑工程施工许可证》</w:t>
            </w:r>
          </w:p>
        </w:tc>
        <w:tc>
          <w:tcPr>
            <w:tcW w:w="45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复印件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14</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《商品房预售方案》</w:t>
            </w:r>
          </w:p>
        </w:tc>
        <w:tc>
          <w:tcPr>
            <w:tcW w:w="45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原件；本项仅适用于预售的项目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15</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《商品房现售方案》</w:t>
            </w:r>
          </w:p>
        </w:tc>
        <w:tc>
          <w:tcPr>
            <w:tcW w:w="45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原件；本项仅适用于现售的项目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1"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16</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商品房价格备案证明文件</w:t>
            </w:r>
          </w:p>
        </w:tc>
        <w:tc>
          <w:tcPr>
            <w:tcW w:w="45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复印件，加盖房地产开发企业公章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1"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17</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《商品房销售价目表》</w:t>
            </w:r>
          </w:p>
        </w:tc>
        <w:tc>
          <w:tcPr>
            <w:tcW w:w="45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原件，加盖房地产开发企业公章；预售许可批准或者现售备案通过后再按照物价主管部门有关要求做好公示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4"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18</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《商品房销售价格相关信息公示表》</w:t>
            </w:r>
          </w:p>
        </w:tc>
        <w:tc>
          <w:tcPr>
            <w:tcW w:w="4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19</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商品房交易、产权转移等代收代办的收费项目、收费标准、收费范围、收费依据等信息</w:t>
            </w:r>
          </w:p>
        </w:tc>
        <w:tc>
          <w:tcPr>
            <w:tcW w:w="45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原件；标明由消费者自愿选择；经物价主管部门备案的，还需公示相关备案文件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20</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房屋测绘报告</w:t>
            </w:r>
          </w:p>
        </w:tc>
        <w:tc>
          <w:tcPr>
            <w:tcW w:w="45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复印件；预售的公示预测报告，现售的公示实测报告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3"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21</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装饰装修标准</w:t>
            </w:r>
          </w:p>
        </w:tc>
        <w:tc>
          <w:tcPr>
            <w:tcW w:w="45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原件，加盖房地产开发企业公章；包括主要材料和设备的品牌、产地、规格和数量等信息；同时在全装修样板房门口进行公示；本项仅适用于全装修销售新建商品住宅项目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22</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装饰装修部分概算文件</w:t>
            </w:r>
          </w:p>
        </w:tc>
        <w:tc>
          <w:tcPr>
            <w:tcW w:w="45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复印件；同时在全装修样板房门口进行公示；本项仅适用于全装修销售新建商品住宅项目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35" w:hRule="atLeast"/>
        </w:trPr>
        <w:tc>
          <w:tcPr>
            <w:tcW w:w="4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公示栏</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栏目三：销售进度</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23</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《商品房项目销售进度表》</w:t>
            </w:r>
          </w:p>
        </w:tc>
        <w:tc>
          <w:tcPr>
            <w:tcW w:w="45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原件，一个《广东省商品房预售许可证》或《商品房现售备案书》，对应一份表格，加盖房地产开发企业公章；预售许可批准或者现售备案通过后再公示；开盘当天，必须设立落地式公示牌进行公示，放置在公示栏（台）附近进行展示；应同步在市信息平台标识对应房屋销售状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栏目四：项目信息</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24</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项目规划总平面图</w:t>
            </w:r>
          </w:p>
        </w:tc>
        <w:tc>
          <w:tcPr>
            <w:tcW w:w="45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用原件或复印件，复印件须为原图纸尺寸，加盖房地产开发企业公章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25</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楼幢建筑平面图</w:t>
            </w:r>
          </w:p>
        </w:tc>
        <w:tc>
          <w:tcPr>
            <w:tcW w:w="45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用原件或复印件，复印件须为原图纸尺寸，加盖房地产开发企业公章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26</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户型详图</w:t>
            </w:r>
          </w:p>
        </w:tc>
        <w:tc>
          <w:tcPr>
            <w:tcW w:w="45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用原件或复印件，复印件须为原图纸尺寸，加盖房地产开发企业公章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3"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27</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地下停车位平面图</w:t>
            </w:r>
          </w:p>
        </w:tc>
        <w:tc>
          <w:tcPr>
            <w:tcW w:w="45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用原件或复印件，复印件须为原图纸尺寸，加盖房地产开发企业公章；位于人防防护区范围内的停车位（车库）应注明“人防车位（车库）”。项目无人防工程的，需作出说明并附主管部门审批意见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28</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人防区域平面图</w:t>
            </w:r>
          </w:p>
        </w:tc>
        <w:tc>
          <w:tcPr>
            <w:tcW w:w="4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8"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29</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土地、房屋抵押信息</w:t>
            </w:r>
          </w:p>
        </w:tc>
        <w:tc>
          <w:tcPr>
            <w:tcW w:w="45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公示原件，适用于土地使用权、在建工程设置抵押项目。抵押权人同意销售抵押房屋的证明材料可公示复印件，加盖房地产开发企业公章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30</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环境影响评价文件</w:t>
            </w:r>
          </w:p>
        </w:tc>
        <w:tc>
          <w:tcPr>
            <w:tcW w:w="45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用原件或复印件，复印件须为原图纸尺寸，加盖房地产开发企业公章；不涉及国家秘密、商业秘密、个人隐私等内容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31</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项目周边影响因素</w:t>
            </w:r>
          </w:p>
        </w:tc>
        <w:tc>
          <w:tcPr>
            <w:tcW w:w="45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鼓励在显眼位置以悬挂式或者落地式公示牌进行展示，若无相关影响因素的，也要公示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栏目五：项目合约文本</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32</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《商品房认购书》（含附件）示范文本</w:t>
            </w:r>
          </w:p>
        </w:tc>
        <w:tc>
          <w:tcPr>
            <w:tcW w:w="45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原件，加盖房地产开发企业公章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33</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《商品房买卖合同》（含附件）示范文本</w:t>
            </w:r>
          </w:p>
        </w:tc>
        <w:tc>
          <w:tcPr>
            <w:tcW w:w="45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原件，加盖房地产开发企业公章；项目存在预售和现售项目的，应同时公示预售和现售合同示范文本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5"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34</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《前期物业服务合同》或《物业服务合同》示范文本</w:t>
            </w:r>
          </w:p>
        </w:tc>
        <w:tc>
          <w:tcPr>
            <w:tcW w:w="45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复印件，加盖房地产开发企业公章；包括前期物业服务内容、服务标准及收费依据、收费标准等信息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35</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《小区临时管理公约》或《小区管理公约》</w:t>
            </w:r>
          </w:p>
        </w:tc>
        <w:tc>
          <w:tcPr>
            <w:tcW w:w="45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原件，加盖房地产开发企业公章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36</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《住宅质量保证书》和《住宅使用说明书》示范文本</w:t>
            </w:r>
          </w:p>
        </w:tc>
        <w:tc>
          <w:tcPr>
            <w:tcW w:w="45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原件，加盖房地产开发企业公章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37</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《售楼处的各项规章制度》</w:t>
            </w:r>
          </w:p>
        </w:tc>
        <w:tc>
          <w:tcPr>
            <w:tcW w:w="45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原件，加盖房地产开发企业公章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38</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《民用建筑节能说明》</w:t>
            </w:r>
          </w:p>
        </w:tc>
        <w:tc>
          <w:tcPr>
            <w:tcW w:w="45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原件，加盖房地产开发企业公章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39</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《解决商品房销售矛盾纠纷和突发事件的处理预案》</w:t>
            </w:r>
          </w:p>
        </w:tc>
        <w:tc>
          <w:tcPr>
            <w:tcW w:w="45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原件，加盖房地产开发企业公章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1"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40</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房地产开发企业不拒绝购房人使用住房公积金贷款的书面承诺</w:t>
            </w:r>
          </w:p>
        </w:tc>
        <w:tc>
          <w:tcPr>
            <w:tcW w:w="45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原件，加盖房地产开发企业公章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trPr>
        <w:tc>
          <w:tcPr>
            <w:tcW w:w="4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公示栏</w:t>
            </w:r>
          </w:p>
        </w:tc>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栏目六：购房特别提示信息</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41</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限购政策、公积金政策及信贷政策提示牌</w:t>
            </w:r>
          </w:p>
        </w:tc>
        <w:tc>
          <w:tcPr>
            <w:tcW w:w="45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标注“请购房人在购房前认真了解江门市现行的房地产市场调控、信贷和住房公积金等政策！”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42"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42</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销售许可查询提示牌</w:t>
            </w:r>
          </w:p>
        </w:tc>
        <w:tc>
          <w:tcPr>
            <w:tcW w:w="45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标注“购房人可以通过查阅销售现场信息公示资料或登录江门市房屋交易和产权管理信息平台（http://jmzjj.jiangmen.cn:8085/）查询《广东省商品房预售许可证》/《 江门市商品房现售备案书》和商品房可售情况！”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8"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43</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购房款支付特别提示牌</w:t>
            </w:r>
          </w:p>
        </w:tc>
        <w:tc>
          <w:tcPr>
            <w:tcW w:w="45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黑体" w:hAnsi="宋体" w:eastAsia="黑体" w:cs="黑体"/>
                <w:i w:val="0"/>
                <w:iCs w:val="0"/>
                <w:color w:val="000000"/>
                <w:sz w:val="24"/>
                <w:szCs w:val="24"/>
                <w:u w:val="none"/>
                <w:lang w:val="en-US"/>
              </w:rPr>
            </w:pPr>
            <w:r>
              <w:rPr>
                <w:rFonts w:hint="eastAsia" w:ascii="黑体" w:hAnsi="宋体" w:eastAsia="黑体" w:cs="黑体"/>
                <w:i w:val="0"/>
                <w:iCs w:val="0"/>
                <w:color w:val="000000"/>
                <w:kern w:val="0"/>
                <w:sz w:val="24"/>
                <w:szCs w:val="24"/>
                <w:u w:val="none"/>
                <w:lang w:val="en-US" w:eastAsia="zh-CN" w:bidi="ar"/>
              </w:rPr>
              <w:t>标注“为加强预售资金监管，请购房人将商品房预售款存入《广东省商品房预售许可证》登记的预售款专用账户（本项仅适用于预售商品房）！</w:t>
            </w:r>
            <w:r>
              <w:rPr>
                <w:rFonts w:hint="default" w:ascii="黑体" w:hAnsi="宋体" w:eastAsia="黑体" w:cs="黑体"/>
                <w:i w:val="0"/>
                <w:iCs w:val="0"/>
                <w:color w:val="000000"/>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44</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自愿支付代收代办费用提示牌</w:t>
            </w:r>
          </w:p>
        </w:tc>
        <w:tc>
          <w:tcPr>
            <w:tcW w:w="45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标注“代收代办服务或者第三方收取的费用，购房人有权自愿选择是否接受，若接受，建议与收费单位签订相关书面协议！”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42"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45</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防范返本销售和售后包租风险提示牌</w:t>
            </w:r>
          </w:p>
        </w:tc>
        <w:tc>
          <w:tcPr>
            <w:tcW w:w="45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如果销售办公、公寓等商业性质房屋，需设置防范返本销售和售后包租风险提示牌，标注“若购买的是商业性质的房屋，请购房人认真阅读《商品房销售管理办法》，注意防范返本销售和售后包租等风险，审慎签订相关委托经营服务合同，不要轻信低投资、高回报等承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8"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46</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全装修样板房参观提示牌</w:t>
            </w:r>
          </w:p>
        </w:tc>
        <w:tc>
          <w:tcPr>
            <w:tcW w:w="45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如果项目存在全装修销售新建商品住宅，必须设立全装修样板房，并在销售现场设置提示牌，标注“本楼盘设有全装修样板房，参观请与销售人员联系”等提示信息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栏目七：法律法规规章政策文件</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47</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《商品房销售管理办法》</w:t>
            </w:r>
          </w:p>
        </w:tc>
        <w:tc>
          <w:tcPr>
            <w:tcW w:w="45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房地产开发企业可通过互联网搜索相关法律法规规章政策文件，或者向项目所在地的县级住房城乡建设主管部门领取；其中，第49-53项，用A4纸打印并装订成册，加盖房地产开发企业公章，进行公示（有关文件的附件必须一起公示）；第54项、55项的主文和附件6必须设立落地式公示牌进行公示，鼓励采用宣传单的形式辅助公示，放置在公示栏（台）附近进行展示相关文件形成“法律法规规章政策文件”文件夹，保存在商品房销售信息专用查询电脑中，供购房人查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1"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48</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《城市商品房预售管理办法》</w:t>
            </w:r>
          </w:p>
        </w:tc>
        <w:tc>
          <w:tcPr>
            <w:tcW w:w="4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2"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49</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《广东省商品房预售管理条例》</w:t>
            </w:r>
          </w:p>
        </w:tc>
        <w:tc>
          <w:tcPr>
            <w:tcW w:w="4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50</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《江门市人民政府办公室关于进一步促进我市房地产市场平稳健康发展的通知》（江府办函〔2017〕90号）</w:t>
            </w:r>
          </w:p>
        </w:tc>
        <w:tc>
          <w:tcPr>
            <w:tcW w:w="4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51</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《关于加强新建商品住宅全装修管理的通知》（江建函〔2017〕1433）</w:t>
            </w:r>
          </w:p>
        </w:tc>
        <w:tc>
          <w:tcPr>
            <w:tcW w:w="4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52</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《江门市住房和城乡建设局关于购买商品房的温馨提示》（江建房函〔2021〕7号）</w:t>
            </w:r>
          </w:p>
        </w:tc>
        <w:tc>
          <w:tcPr>
            <w:tcW w:w="4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53</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江门市住房和城乡建设局关于进一步规范商品房销售信息公示的通</w:t>
            </w:r>
          </w:p>
        </w:tc>
        <w:tc>
          <w:tcPr>
            <w:tcW w:w="4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8"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54</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其他要求公示的涉及商品房销售的法律法规规章以及政策文件（如本市现行房地产市场调控、信贷和住房公积金政策等文件）</w:t>
            </w:r>
          </w:p>
        </w:tc>
        <w:tc>
          <w:tcPr>
            <w:tcW w:w="4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911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八、法律法规规章政策文件要求公示的其他材料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7" w:hRule="atLeast"/>
        </w:trPr>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销售模型（沙盘）设置公示</w:t>
            </w:r>
          </w:p>
        </w:tc>
        <w:tc>
          <w:tcPr>
            <w:tcW w:w="84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若在销售现场设置销售模型（沙盘）进行展示的，应设置A4幅面的标识牌，标注简要的制作说明（模型比例、制作依据、制作日期、项目配套设施名称及具体位置等）和“销售模型（沙盘）仅做示意用途，项目实际规划设计请查看现场公示的项目总平面图”等提示信息，并明确标注项目中可能影响居民生活的公共配套设施因素、配套设施、公共服务设施、配建保障性安居工程住房，以及拆迁、征收补偿、配建、自持房屋等位置（区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2" w:hRule="atLeast"/>
        </w:trPr>
        <w:tc>
          <w:tcPr>
            <w:tcW w:w="115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现场布置     相关规定</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1</w:t>
            </w:r>
          </w:p>
        </w:tc>
        <w:tc>
          <w:tcPr>
            <w:tcW w:w="79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房地产开发企业应在申请商品房项目预售许可或现售备案前，在销售现场按本明细表完成信息公示设置（有特别说明的除外），直至商品房销售结束止。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3" w:hRule="atLeast"/>
        </w:trPr>
        <w:tc>
          <w:tcPr>
            <w:tcW w:w="115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2</w:t>
            </w:r>
          </w:p>
        </w:tc>
        <w:tc>
          <w:tcPr>
            <w:tcW w:w="79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销售现场应合理布局，多个公示内容应集中整齐排列放置，原则上集中公示和警示信息的公示区域（不包括销售模型、销售沙盘）面积不小于10㎡，跟销售模型（沙盘）的距离不超过10米。鼓励有条件的房地产项目，在销售现场设置商品房销售信息专用查询电脑，设立电子信息屏、多媒体终端等方式对有关信息内容进行辅助公示，方便购房人网核查商品房项目相关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1" w:hRule="atLeast"/>
        </w:trPr>
        <w:tc>
          <w:tcPr>
            <w:tcW w:w="115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3</w:t>
            </w:r>
          </w:p>
        </w:tc>
        <w:tc>
          <w:tcPr>
            <w:tcW w:w="79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销售现场公示的销售信息应与商品房网签备案信息一致，公示的项目名称应与已批准的《广东省商品房预售许可证》或者《江门市商品房现售备案书》一致，具体形式及要求，详见《江门市新建商品房销售现场信息公示明细表》。相关信息应在销售现场显著位置进行公示，以有关部门审核通过的为准，遵循真实、准确、有效、全面原则，做到字迹清晰、标示醒目，所有公示资料均需加盖房地产开发企业公章； 相关示范文本应该将主要条款或信息内容填写好后一并公示；同一份资料只需公示一份；相关信息有两种及以上版本的，应一并公示；涉及到两个企业及以上的合约文本，必须有合约相关方的公章；预售转为现售的项目按照现售进行公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8" w:hRule="atLeast"/>
        </w:trPr>
        <w:tc>
          <w:tcPr>
            <w:tcW w:w="115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4</w:t>
            </w:r>
          </w:p>
        </w:tc>
        <w:tc>
          <w:tcPr>
            <w:tcW w:w="79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相关信息有变化的，房地产开发企业应及时更新，保持销售现场公示的信息与相关部门发布公示的信息及实际情况相一致；同时应通过申请变更或者自主更新等方式，及时更新江门市信息平台公示和警示的信息；原则上应在信息确认发生变更后2天内更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4" w:hRule="atLeast"/>
        </w:trPr>
        <w:tc>
          <w:tcPr>
            <w:tcW w:w="115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5</w:t>
            </w:r>
          </w:p>
        </w:tc>
        <w:tc>
          <w:tcPr>
            <w:tcW w:w="79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公示信息应当集中在同一个区域；公示栏正上方标注“商品房销售信息公示栏”和“项目资料，欢迎查阅”的提示标识；每个栏目分开摆放，并设置封面和信息目录（如栏目一，封面标注：公示资料——栏目一：企业和销售人员信息；信息目录标注：1.房地产开发企业《营业执照》；2.《房地产开发企业资质证书》；3.……），公示内容按目录序号设置，相关资料采用A4或以上幅面塑封装订，便于检索查阅；若同类资料数量较多，可再分成多栏（册）摆放，供购房人查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56" w:hRule="atLeast"/>
        </w:trPr>
        <w:tc>
          <w:tcPr>
            <w:tcW w:w="115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4"/>
                <w:szCs w:val="24"/>
                <w:u w:val="none"/>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6</w:t>
            </w:r>
          </w:p>
        </w:tc>
        <w:tc>
          <w:tcPr>
            <w:tcW w:w="79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公示栏栏目二以一个《广东省商品房预售许可证》或《商品房现售备案书》，对应一组公示材料，每组资料封面要标注证号编号和公安门牌；栏目四和栏目五公示整个项目（原则上一个立项批复文件或《广东省企业基本建设投资项目备案证》对应一个项目）的有关材料；栏目六中的提示牌必须采用落地式公示牌进行公示，放置在公示栏附近进行展示。在公示栏（或墙上）张贴、张挂的证件（文件）设在显眼位置，内容清晰，查看方便；相关证件、图纸、文件应适当装裱，如幅面较大，可另行制作落地架式公示牌，放置在公示栏（台）附近进行展示；栏目六和栏目七无需在江门市房屋交易和产权管理信息平台公示。</w:t>
            </w:r>
          </w:p>
        </w:tc>
      </w:tr>
    </w:tbl>
    <w:p>
      <w:pPr>
        <w:pStyle w:val="6"/>
        <w:ind w:left="0" w:leftChars="0" w:firstLine="0" w:firstLineChars="0"/>
        <w:rPr>
          <w:rFonts w:hint="default" w:ascii="仿宋_GB2312" w:eastAsia="仿宋_GB2312"/>
          <w:bCs/>
          <w:color w:val="000000" w:themeColor="text1"/>
          <w:sz w:val="32"/>
          <w:szCs w:val="32"/>
          <w:lang w:val="en-US" w:eastAsia="zh-CN"/>
          <w14:textFill>
            <w14:solidFill>
              <w14:schemeClr w14:val="tx1"/>
            </w14:solidFill>
          </w14:textFill>
        </w:rPr>
      </w:pPr>
    </w:p>
    <w:p>
      <w:pPr>
        <w:rPr>
          <w:rFonts w:hint="default" w:ascii="仿宋_GB2312" w:eastAsia="仿宋_GB2312"/>
          <w:bCs/>
          <w:color w:val="000000" w:themeColor="text1"/>
          <w:sz w:val="32"/>
          <w:szCs w:val="32"/>
          <w:lang w:val="en-US" w:eastAsia="zh-CN"/>
          <w14:textFill>
            <w14:solidFill>
              <w14:schemeClr w14:val="tx1"/>
            </w14:solidFill>
          </w14:textFill>
        </w:rPr>
      </w:pPr>
    </w:p>
    <w:p>
      <w:pPr>
        <w:pStyle w:val="6"/>
        <w:rPr>
          <w:rFonts w:hint="default" w:ascii="仿宋_GB2312" w:eastAsia="仿宋_GB2312"/>
          <w:bCs/>
          <w:color w:val="000000" w:themeColor="text1"/>
          <w:sz w:val="32"/>
          <w:szCs w:val="32"/>
          <w:lang w:val="en-US" w:eastAsia="zh-CN"/>
          <w14:textFill>
            <w14:solidFill>
              <w14:schemeClr w14:val="tx1"/>
            </w14:solidFill>
          </w14:textFill>
        </w:rPr>
      </w:pPr>
    </w:p>
    <w:p>
      <w:pPr>
        <w:pStyle w:val="6"/>
        <w:rPr>
          <w:rFonts w:hint="default" w:ascii="仿宋_GB2312" w:eastAsia="仿宋_GB2312"/>
          <w:bCs/>
          <w:color w:val="000000" w:themeColor="text1"/>
          <w:sz w:val="32"/>
          <w:szCs w:val="32"/>
          <w:lang w:val="en-US" w:eastAsia="zh-CN"/>
          <w14:textFill>
            <w14:solidFill>
              <w14:schemeClr w14:val="tx1"/>
            </w14:solidFill>
          </w14:textFill>
        </w:rPr>
      </w:pPr>
    </w:p>
    <w:p>
      <w:pPr>
        <w:pStyle w:val="6"/>
        <w:rPr>
          <w:rFonts w:hint="default" w:ascii="仿宋_GB2312" w:eastAsia="仿宋_GB2312"/>
          <w:bCs/>
          <w:color w:val="000000" w:themeColor="text1"/>
          <w:sz w:val="32"/>
          <w:szCs w:val="32"/>
          <w:lang w:val="en-US" w:eastAsia="zh-CN"/>
          <w14:textFill>
            <w14:solidFill>
              <w14:schemeClr w14:val="tx1"/>
            </w14:solidFill>
          </w14:textFill>
        </w:rPr>
      </w:pPr>
    </w:p>
    <w:p>
      <w:pPr>
        <w:pStyle w:val="6"/>
        <w:rPr>
          <w:rFonts w:hint="default" w:ascii="仿宋_GB2312" w:eastAsia="仿宋_GB2312"/>
          <w:bCs/>
          <w:color w:val="000000" w:themeColor="text1"/>
          <w:sz w:val="32"/>
          <w:szCs w:val="32"/>
          <w:lang w:val="en-US" w:eastAsia="zh-CN"/>
          <w14:textFill>
            <w14:solidFill>
              <w14:schemeClr w14:val="tx1"/>
            </w14:solidFill>
          </w14:textFill>
        </w:rPr>
      </w:pPr>
    </w:p>
    <w:p>
      <w:pPr>
        <w:pStyle w:val="6"/>
        <w:rPr>
          <w:rFonts w:hint="default" w:ascii="仿宋_GB2312" w:eastAsia="仿宋_GB2312"/>
          <w:bCs/>
          <w:color w:val="000000" w:themeColor="text1"/>
          <w:sz w:val="32"/>
          <w:szCs w:val="32"/>
          <w:lang w:val="en-US" w:eastAsia="zh-CN"/>
          <w14:textFill>
            <w14:solidFill>
              <w14:schemeClr w14:val="tx1"/>
            </w14:solidFill>
          </w14:textFill>
        </w:rPr>
      </w:pPr>
    </w:p>
    <w:p>
      <w:pPr>
        <w:pStyle w:val="6"/>
        <w:rPr>
          <w:rFonts w:hint="default" w:ascii="仿宋_GB2312" w:eastAsia="仿宋_GB2312"/>
          <w:bCs/>
          <w:color w:val="000000" w:themeColor="text1"/>
          <w:sz w:val="32"/>
          <w:szCs w:val="32"/>
          <w:lang w:val="en-US" w:eastAsia="zh-CN"/>
          <w14:textFill>
            <w14:solidFill>
              <w14:schemeClr w14:val="tx1"/>
            </w14:solidFill>
          </w14:textFill>
        </w:rPr>
      </w:pPr>
    </w:p>
    <w:p>
      <w:pPr>
        <w:pStyle w:val="6"/>
        <w:rPr>
          <w:rFonts w:hint="default" w:ascii="仿宋_GB2312" w:eastAsia="仿宋_GB2312"/>
          <w:bCs/>
          <w:color w:val="000000" w:themeColor="text1"/>
          <w:sz w:val="32"/>
          <w:szCs w:val="32"/>
          <w:lang w:val="en-US" w:eastAsia="zh-CN"/>
          <w14:textFill>
            <w14:solidFill>
              <w14:schemeClr w14:val="tx1"/>
            </w14:solidFill>
          </w14:textFill>
        </w:rPr>
      </w:pPr>
    </w:p>
    <w:p>
      <w:pPr>
        <w:pStyle w:val="6"/>
        <w:rPr>
          <w:rFonts w:hint="default" w:ascii="仿宋_GB2312" w:eastAsia="仿宋_GB2312"/>
          <w:bCs/>
          <w:color w:val="000000" w:themeColor="text1"/>
          <w:sz w:val="32"/>
          <w:szCs w:val="32"/>
          <w:lang w:val="en-US" w:eastAsia="zh-CN"/>
          <w14:textFill>
            <w14:solidFill>
              <w14:schemeClr w14:val="tx1"/>
            </w14:solidFill>
          </w14:textFill>
        </w:rPr>
      </w:pPr>
    </w:p>
    <w:p>
      <w:pPr>
        <w:pStyle w:val="6"/>
        <w:rPr>
          <w:rFonts w:hint="default" w:ascii="仿宋_GB2312" w:eastAsia="仿宋_GB2312"/>
          <w:bCs/>
          <w:color w:val="000000" w:themeColor="text1"/>
          <w:sz w:val="32"/>
          <w:szCs w:val="32"/>
          <w:lang w:val="en-US" w:eastAsia="zh-CN"/>
          <w14:textFill>
            <w14:solidFill>
              <w14:schemeClr w14:val="tx1"/>
            </w14:solidFill>
          </w14:textFill>
        </w:rPr>
      </w:pPr>
    </w:p>
    <w:p>
      <w:pPr>
        <w:pStyle w:val="6"/>
        <w:rPr>
          <w:rFonts w:hint="default" w:ascii="仿宋_GB2312" w:eastAsia="仿宋_GB2312"/>
          <w:bCs/>
          <w:color w:val="000000" w:themeColor="text1"/>
          <w:sz w:val="32"/>
          <w:szCs w:val="32"/>
          <w:lang w:val="en-US" w:eastAsia="zh-CN"/>
          <w14:textFill>
            <w14:solidFill>
              <w14:schemeClr w14:val="tx1"/>
            </w14:solidFill>
          </w14:textFill>
        </w:rPr>
      </w:pPr>
    </w:p>
    <w:p>
      <w:pPr>
        <w:pStyle w:val="6"/>
        <w:rPr>
          <w:rFonts w:hint="default" w:ascii="仿宋_GB2312" w:eastAsia="仿宋_GB2312"/>
          <w:bCs/>
          <w:color w:val="000000" w:themeColor="text1"/>
          <w:sz w:val="32"/>
          <w:szCs w:val="32"/>
          <w:lang w:val="en-US" w:eastAsia="zh-CN"/>
          <w14:textFill>
            <w14:solidFill>
              <w14:schemeClr w14:val="tx1"/>
            </w14:solidFill>
          </w14:textFill>
        </w:rPr>
      </w:pPr>
    </w:p>
    <w:p>
      <w:pPr>
        <w:pStyle w:val="6"/>
        <w:rPr>
          <w:rFonts w:hint="default" w:ascii="仿宋_GB2312" w:eastAsia="仿宋_GB2312"/>
          <w:bCs/>
          <w:color w:val="000000" w:themeColor="text1"/>
          <w:sz w:val="32"/>
          <w:szCs w:val="32"/>
          <w:lang w:val="en-US" w:eastAsia="zh-CN"/>
          <w14:textFill>
            <w14:solidFill>
              <w14:schemeClr w14:val="tx1"/>
            </w14:solidFill>
          </w14:textFill>
        </w:rPr>
      </w:pPr>
    </w:p>
    <w:p>
      <w:pPr>
        <w:pStyle w:val="6"/>
        <w:rPr>
          <w:rFonts w:hint="default" w:ascii="仿宋_GB2312" w:eastAsia="仿宋_GB2312"/>
          <w:bCs/>
          <w:color w:val="000000" w:themeColor="text1"/>
          <w:sz w:val="32"/>
          <w:szCs w:val="32"/>
          <w:lang w:val="en-US" w:eastAsia="zh-CN"/>
          <w14:textFill>
            <w14:solidFill>
              <w14:schemeClr w14:val="tx1"/>
            </w14:solidFill>
          </w14:textFill>
        </w:rPr>
      </w:pPr>
    </w:p>
    <w:p>
      <w:pPr>
        <w:pStyle w:val="6"/>
        <w:rPr>
          <w:rFonts w:hint="default" w:ascii="仿宋_GB2312" w:eastAsia="仿宋_GB2312"/>
          <w:bCs/>
          <w:color w:val="000000" w:themeColor="text1"/>
          <w:sz w:val="32"/>
          <w:szCs w:val="32"/>
          <w:lang w:val="en-US" w:eastAsia="zh-CN"/>
          <w14:textFill>
            <w14:solidFill>
              <w14:schemeClr w14:val="tx1"/>
            </w14:solidFill>
          </w14:textFill>
        </w:rPr>
      </w:pPr>
    </w:p>
    <w:p>
      <w:pPr>
        <w:pStyle w:val="6"/>
        <w:rPr>
          <w:rFonts w:hint="default" w:ascii="仿宋_GB2312" w:eastAsia="仿宋_GB2312"/>
          <w:bCs/>
          <w:color w:val="000000" w:themeColor="text1"/>
          <w:sz w:val="32"/>
          <w:szCs w:val="32"/>
          <w:lang w:val="en-US" w:eastAsia="zh-CN"/>
          <w14:textFill>
            <w14:solidFill>
              <w14:schemeClr w14:val="tx1"/>
            </w14:solidFill>
          </w14:textFill>
        </w:rPr>
      </w:pPr>
    </w:p>
    <w:p>
      <w:pPr>
        <w:pStyle w:val="6"/>
        <w:rPr>
          <w:rFonts w:hint="default" w:ascii="仿宋_GB2312" w:eastAsia="仿宋_GB2312"/>
          <w:bCs/>
          <w:color w:val="000000" w:themeColor="text1"/>
          <w:sz w:val="32"/>
          <w:szCs w:val="32"/>
          <w:lang w:val="en-US" w:eastAsia="zh-CN"/>
          <w14:textFill>
            <w14:solidFill>
              <w14:schemeClr w14:val="tx1"/>
            </w14:solidFill>
          </w14:textFill>
        </w:rPr>
      </w:pPr>
    </w:p>
    <w:p>
      <w:pPr>
        <w:pStyle w:val="6"/>
        <w:rPr>
          <w:rFonts w:hint="default" w:ascii="仿宋_GB2312" w:eastAsia="仿宋_GB2312"/>
          <w:bCs/>
          <w:color w:val="000000" w:themeColor="text1"/>
          <w:sz w:val="32"/>
          <w:szCs w:val="32"/>
          <w:lang w:val="en-US" w:eastAsia="zh-CN"/>
          <w14:textFill>
            <w14:solidFill>
              <w14:schemeClr w14:val="tx1"/>
            </w14:solidFill>
          </w14:textFill>
        </w:rPr>
      </w:pPr>
    </w:p>
    <w:p>
      <w:pPr>
        <w:pStyle w:val="6"/>
        <w:ind w:left="0" w:leftChars="0" w:firstLine="0" w:firstLineChars="0"/>
        <w:rPr>
          <w:rFonts w:hint="eastAsia" w:eastAsia="仿宋_GB2312"/>
          <w:sz w:val="32"/>
          <w:szCs w:val="32"/>
          <w:lang w:eastAsia="zh-CN"/>
        </w:rPr>
      </w:pPr>
      <w:r>
        <w:rPr>
          <w:rFonts w:hint="eastAsia" w:ascii="仿宋_GB2312" w:eastAsia="仿宋_GB2312"/>
          <w:bCs/>
          <w:color w:val="000000" w:themeColor="text1"/>
          <w:sz w:val="32"/>
          <w:szCs w:val="32"/>
          <w:lang w:val="en-US" w:eastAsia="zh-CN"/>
          <w14:textFill>
            <w14:solidFill>
              <w14:schemeClr w14:val="tx1"/>
            </w14:solidFill>
          </w14:textFill>
        </w:rPr>
        <w:t>附件4：</w:t>
      </w:r>
      <w:r>
        <w:rPr>
          <w:rFonts w:hint="eastAsia" w:eastAsia="仿宋_GB2312"/>
          <w:sz w:val="32"/>
          <w:szCs w:val="32"/>
          <w:lang w:eastAsia="zh-CN"/>
        </w:rPr>
        <w:t>二维码设置教程</w:t>
      </w:r>
    </w:p>
    <w:p>
      <w:pPr>
        <w:pStyle w:val="6"/>
        <w:ind w:left="0" w:leftChars="0" w:firstLine="0" w:firstLineChars="0"/>
        <w:rPr>
          <w:rFonts w:hint="eastAsia" w:eastAsia="仿宋_GB2312"/>
          <w:sz w:val="32"/>
          <w:szCs w:val="32"/>
          <w:lang w:eastAsia="zh-CN"/>
        </w:rPr>
      </w:pPr>
    </w:p>
    <w:p>
      <w:pPr>
        <w:pStyle w:val="6"/>
        <w:ind w:left="0" w:leftChars="0" w:firstLine="0" w:firstLineChars="0"/>
        <w:rPr>
          <w:rFonts w:hint="eastAsia" w:eastAsia="仿宋_GB2312"/>
          <w:sz w:val="32"/>
          <w:szCs w:val="32"/>
          <w:lang w:val="en-US" w:eastAsia="zh-CN"/>
        </w:rPr>
      </w:pPr>
      <w:r>
        <w:rPr>
          <w:rFonts w:hint="eastAsia" w:eastAsia="仿宋_GB2312"/>
          <w:sz w:val="32"/>
          <w:szCs w:val="32"/>
          <w:lang w:val="en-US" w:eastAsia="zh-CN"/>
        </w:rPr>
        <w:t>生成二维码平台：</w:t>
      </w:r>
      <w:r>
        <w:rPr>
          <w:rFonts w:hint="default" w:eastAsia="仿宋_GB2312"/>
          <w:sz w:val="32"/>
          <w:szCs w:val="32"/>
          <w:lang w:val="en-US" w:eastAsia="zh-CN"/>
        </w:rPr>
        <w:t>草料二维码生成器</w:t>
      </w:r>
      <w:r>
        <w:rPr>
          <w:rFonts w:hint="eastAsia" w:eastAsia="仿宋_GB2312"/>
          <w:sz w:val="32"/>
          <w:szCs w:val="32"/>
          <w:lang w:val="en-US" w:eastAsia="zh-CN"/>
        </w:rPr>
        <w:fldChar w:fldCharType="begin"/>
      </w:r>
      <w:r>
        <w:rPr>
          <w:rFonts w:hint="eastAsia" w:eastAsia="仿宋_GB2312"/>
          <w:sz w:val="32"/>
          <w:szCs w:val="32"/>
          <w:lang w:val="en-US" w:eastAsia="zh-CN"/>
        </w:rPr>
        <w:instrText xml:space="preserve"> HYPERLINK "https://cli.im/" </w:instrText>
      </w:r>
      <w:r>
        <w:rPr>
          <w:rFonts w:hint="eastAsia" w:eastAsia="仿宋_GB2312"/>
          <w:sz w:val="32"/>
          <w:szCs w:val="32"/>
          <w:lang w:val="en-US" w:eastAsia="zh-CN"/>
        </w:rPr>
        <w:fldChar w:fldCharType="separate"/>
      </w:r>
      <w:r>
        <w:rPr>
          <w:rStyle w:val="5"/>
          <w:rFonts w:hint="eastAsia" w:eastAsia="仿宋_GB2312"/>
          <w:sz w:val="32"/>
          <w:szCs w:val="32"/>
          <w:lang w:val="en-US" w:eastAsia="zh-CN"/>
        </w:rPr>
        <w:t>https://cli.im/</w:t>
      </w:r>
      <w:r>
        <w:rPr>
          <w:rFonts w:hint="eastAsia" w:eastAsia="仿宋_GB2312"/>
          <w:sz w:val="32"/>
          <w:szCs w:val="32"/>
          <w:lang w:val="en-US" w:eastAsia="zh-CN"/>
        </w:rPr>
        <w:fldChar w:fldCharType="end"/>
      </w:r>
    </w:p>
    <w:p>
      <w:pPr>
        <w:pStyle w:val="6"/>
        <w:ind w:left="0" w:leftChars="0" w:firstLine="0" w:firstLineChars="0"/>
        <w:rPr>
          <w:rFonts w:hint="eastAsia" w:eastAsia="仿宋_GB2312"/>
          <w:sz w:val="32"/>
          <w:szCs w:val="32"/>
          <w:lang w:val="en-US" w:eastAsia="zh-CN"/>
        </w:rPr>
      </w:pPr>
      <w:r>
        <w:rPr>
          <w:rFonts w:hint="eastAsia" w:eastAsia="仿宋_GB2312"/>
          <w:sz w:val="32"/>
          <w:szCs w:val="32"/>
          <w:lang w:val="en-US" w:eastAsia="zh-CN"/>
        </w:rPr>
        <w:t>1.点开网页链接</w:t>
      </w:r>
      <w:r>
        <w:rPr>
          <w:rFonts w:hint="eastAsia" w:eastAsia="仿宋_GB2312"/>
          <w:sz w:val="32"/>
          <w:szCs w:val="32"/>
          <w:lang w:val="en-US" w:eastAsia="zh-CN"/>
        </w:rPr>
        <w:fldChar w:fldCharType="begin"/>
      </w:r>
      <w:r>
        <w:rPr>
          <w:rFonts w:hint="eastAsia" w:eastAsia="仿宋_GB2312"/>
          <w:sz w:val="32"/>
          <w:szCs w:val="32"/>
          <w:lang w:val="en-US" w:eastAsia="zh-CN"/>
        </w:rPr>
        <w:instrText xml:space="preserve"> HYPERLINK "https://cli.im/" </w:instrText>
      </w:r>
      <w:r>
        <w:rPr>
          <w:rFonts w:hint="eastAsia" w:eastAsia="仿宋_GB2312"/>
          <w:sz w:val="32"/>
          <w:szCs w:val="32"/>
          <w:lang w:val="en-US" w:eastAsia="zh-CN"/>
        </w:rPr>
        <w:fldChar w:fldCharType="separate"/>
      </w:r>
      <w:r>
        <w:rPr>
          <w:rStyle w:val="5"/>
          <w:rFonts w:hint="eastAsia" w:eastAsia="仿宋_GB2312"/>
          <w:sz w:val="32"/>
          <w:szCs w:val="32"/>
          <w:lang w:val="en-US" w:eastAsia="zh-CN"/>
        </w:rPr>
        <w:t>https://cli.im/</w:t>
      </w:r>
      <w:r>
        <w:rPr>
          <w:rFonts w:hint="eastAsia" w:eastAsia="仿宋_GB2312"/>
          <w:sz w:val="32"/>
          <w:szCs w:val="32"/>
          <w:lang w:val="en-US" w:eastAsia="zh-CN"/>
        </w:rPr>
        <w:fldChar w:fldCharType="end"/>
      </w:r>
      <w:r>
        <w:rPr>
          <w:rFonts w:hint="eastAsia" w:eastAsia="仿宋_GB2312"/>
          <w:sz w:val="32"/>
          <w:szCs w:val="32"/>
          <w:lang w:val="en-US" w:eastAsia="zh-CN"/>
        </w:rPr>
        <w:t>进入以下页面，点击高级编辑，如下图红色方框位置：</w:t>
      </w:r>
    </w:p>
    <w:p>
      <w:pPr>
        <w:pStyle w:val="6"/>
        <w:numPr>
          <w:ilvl w:val="0"/>
          <w:numId w:val="0"/>
        </w:numPr>
        <w:ind w:leftChars="0"/>
      </w:pPr>
      <w:r>
        <w:drawing>
          <wp:inline distT="0" distB="0" distL="114300" distR="114300">
            <wp:extent cx="6111240" cy="314261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rcRect b="4330"/>
                    <a:stretch>
                      <a:fillRect/>
                    </a:stretch>
                  </pic:blipFill>
                  <pic:spPr>
                    <a:xfrm>
                      <a:off x="0" y="0"/>
                      <a:ext cx="6111240" cy="3142615"/>
                    </a:xfrm>
                    <a:prstGeom prst="rect">
                      <a:avLst/>
                    </a:prstGeom>
                    <a:noFill/>
                    <a:ln>
                      <a:noFill/>
                    </a:ln>
                  </pic:spPr>
                </pic:pic>
              </a:graphicData>
            </a:graphic>
          </wp:inline>
        </w:drawing>
      </w:r>
    </w:p>
    <w:p>
      <w:pPr>
        <w:pStyle w:val="6"/>
        <w:ind w:left="0" w:leftChars="0" w:firstLine="0" w:firstLineChars="0"/>
        <w:rPr>
          <w:rFonts w:hint="eastAsia" w:eastAsia="仿宋_GB2312"/>
          <w:sz w:val="32"/>
          <w:szCs w:val="32"/>
          <w:lang w:val="en-US" w:eastAsia="zh-CN"/>
        </w:rPr>
      </w:pPr>
      <w:r>
        <w:rPr>
          <w:rFonts w:hint="eastAsia" w:eastAsia="仿宋_GB2312"/>
          <w:sz w:val="32"/>
          <w:szCs w:val="32"/>
          <w:lang w:val="en-US" w:eastAsia="zh-CN"/>
        </w:rPr>
        <w:t>2.进入下图页面进行操作。（如需咨询，可联系谭小姐，0750-6607610）</w:t>
      </w:r>
    </w:p>
    <w:p>
      <w:pPr>
        <w:pStyle w:val="6"/>
        <w:numPr>
          <w:ilvl w:val="0"/>
          <w:numId w:val="0"/>
        </w:numPr>
        <w:ind w:leftChars="0"/>
        <w:rPr>
          <w:rFonts w:hint="default"/>
          <w:lang w:val="en-US" w:eastAsia="zh-CN"/>
        </w:rPr>
      </w:pPr>
      <w:r>
        <w:drawing>
          <wp:inline distT="0" distB="0" distL="114300" distR="114300">
            <wp:extent cx="6111240" cy="317881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rcRect b="3228"/>
                    <a:stretch>
                      <a:fillRect/>
                    </a:stretch>
                  </pic:blipFill>
                  <pic:spPr>
                    <a:xfrm>
                      <a:off x="0" y="0"/>
                      <a:ext cx="6111240" cy="3178810"/>
                    </a:xfrm>
                    <a:prstGeom prst="rect">
                      <a:avLst/>
                    </a:prstGeom>
                    <a:noFill/>
                    <a:ln>
                      <a:noFill/>
                    </a:ln>
                  </pic:spPr>
                </pic:pic>
              </a:graphicData>
            </a:graphic>
          </wp:inline>
        </w:drawing>
      </w:r>
    </w:p>
    <w:sectPr>
      <w:pgSz w:w="11906" w:h="16838"/>
      <w:pgMar w:top="850" w:right="1134" w:bottom="850"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EE0C65D-D70F-49B8-92B0-4A75540783F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00000001" w:usb1="080E0000" w:usb2="00000000" w:usb3="00000000" w:csb0="00040000" w:csb1="00000000"/>
    <w:embedRegular r:id="rId2" w:fontKey="{2BD2B60C-15C4-4CB7-AD9D-7E2B6F749CB1}"/>
  </w:font>
  <w:font w:name="仿宋_GB2312">
    <w:panose1 w:val="02010609030101010101"/>
    <w:charset w:val="86"/>
    <w:family w:val="modern"/>
    <w:pitch w:val="default"/>
    <w:sig w:usb0="00000001" w:usb1="080E0000" w:usb2="00000000" w:usb3="00000000" w:csb0="00040000" w:csb1="00000000"/>
    <w:embedRegular r:id="rId3" w:fontKey="{4AC7902F-3D23-49EE-BF76-939C806B621F}"/>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JkMDE2NmViN2JkZjcxZTdkNjlkZmM3NTE1ZDZlYjYifQ=="/>
  </w:docVars>
  <w:rsids>
    <w:rsidRoot w:val="00000000"/>
    <w:rsid w:val="05937538"/>
    <w:rsid w:val="11AF09DE"/>
    <w:rsid w:val="175712B7"/>
    <w:rsid w:val="1DA330DA"/>
    <w:rsid w:val="1EBD1523"/>
    <w:rsid w:val="224213B6"/>
    <w:rsid w:val="2868242D"/>
    <w:rsid w:val="2A151DDA"/>
    <w:rsid w:val="2F270E39"/>
    <w:rsid w:val="306252E1"/>
    <w:rsid w:val="34EE30DE"/>
    <w:rsid w:val="3C076D0B"/>
    <w:rsid w:val="3E875A2B"/>
    <w:rsid w:val="3EC024D9"/>
    <w:rsid w:val="3F41113A"/>
    <w:rsid w:val="40C45474"/>
    <w:rsid w:val="43833D05"/>
    <w:rsid w:val="46CB706D"/>
    <w:rsid w:val="4BB00820"/>
    <w:rsid w:val="4E5C4D9A"/>
    <w:rsid w:val="5CFF31EA"/>
    <w:rsid w:val="5D0511A9"/>
    <w:rsid w:val="5D914360"/>
    <w:rsid w:val="5E6C7060"/>
    <w:rsid w:val="64AB0875"/>
    <w:rsid w:val="66236B9E"/>
    <w:rsid w:val="6791781F"/>
    <w:rsid w:val="6FDAAF01"/>
    <w:rsid w:val="74AC5FB0"/>
    <w:rsid w:val="777F73BD"/>
    <w:rsid w:val="787650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unhideWhenUsed/>
    <w:qFormat/>
    <w:uiPriority w:val="9"/>
    <w:pPr>
      <w:keepNext/>
      <w:keepLines/>
      <w:ind w:firstLine="720" w:firstLineChars="200"/>
      <w:outlineLvl w:val="3"/>
    </w:pPr>
    <w:rPr>
      <w:b/>
      <w:bCs/>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5">
    <w:name w:val="Hyperlink"/>
    <w:basedOn w:val="4"/>
    <w:qFormat/>
    <w:uiPriority w:val="0"/>
    <w:rPr>
      <w:color w:val="0000FF"/>
      <w:u w:val="single"/>
    </w:rPr>
  </w:style>
  <w:style w:type="paragraph" w:customStyle="1" w:styleId="6">
    <w:name w:val="_Style 5"/>
    <w:qFormat/>
    <w:uiPriority w:val="0"/>
    <w:pPr>
      <w:widowControl w:val="0"/>
      <w:ind w:firstLine="200" w:firstLineChars="200"/>
      <w:jc w:val="both"/>
    </w:pPr>
    <w:rPr>
      <w:rFonts w:ascii="Times New Roman" w:hAnsi="Times New Roman" w:eastAsia="宋体" w:cs="Times New Roman"/>
      <w:kern w:val="2"/>
      <w:sz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4215</Words>
  <Characters>4357</Characters>
  <Lines>0</Lines>
  <Paragraphs>0</Paragraphs>
  <TotalTime>22</TotalTime>
  <ScaleCrop>false</ScaleCrop>
  <LinksUpToDate>false</LinksUpToDate>
  <CharactersWithSpaces>4364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2023-06-26T10:08:00Z</dcterms:created>
  <dc:creator>john</dc:creator>
  <cp:lastModifiedBy>L</cp:lastModifiedBy>
  <cp:lastPrinted>2023-07-12T16:37:00Z</cp:lastPrinted>
  <dcterms:modified xsi:type="dcterms:W3CDTF">2023-07-12T09:48:03Z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FB5DDCCB5C0C4BF1A094A157ACED8C05_13</vt:lpwstr>
  </property>
</Properties>
</file>