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D2F9F">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23CB50E1">
      <w:pPr>
        <w:jc w:val="center"/>
        <w:rPr>
          <w:rFonts w:hint="eastAsia"/>
          <w:sz w:val="32"/>
          <w:szCs w:val="32"/>
          <w:lang w:val="en-US" w:eastAsia="zh-CN"/>
        </w:rPr>
      </w:pPr>
      <w:bookmarkStart w:id="0" w:name="_GoBack"/>
      <w:r>
        <w:rPr>
          <w:rFonts w:hint="eastAsia" w:ascii="方正小标宋简体" w:hAnsi="方正小标宋简体" w:eastAsia="方正小标宋简体" w:cs="方正小标宋简体"/>
          <w:b/>
          <w:bCs/>
          <w:sz w:val="40"/>
          <w:szCs w:val="40"/>
          <w:lang w:val="en-US" w:eastAsia="zh-CN"/>
        </w:rPr>
        <w:t>2025年度江门市新会区住房和城乡建设局领导干部应知应会法律法规清单</w:t>
      </w:r>
      <w:bookmarkEnd w:id="0"/>
      <w:r>
        <w:rPr>
          <w:rFonts w:hint="eastAsia" w:ascii="方正小标宋简体" w:hAnsi="方正小标宋简体" w:eastAsia="方正小标宋简体" w:cs="方正小标宋简体"/>
          <w:sz w:val="40"/>
          <w:szCs w:val="40"/>
          <w:lang w:val="en-US" w:eastAsia="zh-CN"/>
        </w:rPr>
        <w:t xml:space="preserve">  </w:t>
      </w:r>
      <w:r>
        <w:rPr>
          <w:rFonts w:hint="eastAsia" w:ascii="Calibri" w:eastAsia="宋体"/>
          <w:sz w:val="32"/>
          <w:szCs w:val="32"/>
          <w:lang w:val="en-US" w:eastAsia="zh-CN"/>
        </w:rPr>
        <w:t xml:space="preserve">                                      </w:t>
      </w:r>
    </w:p>
    <w:tbl>
      <w:tblPr>
        <w:tblStyle w:val="6"/>
        <w:tblW w:w="13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203"/>
        <w:gridCol w:w="4652"/>
      </w:tblGrid>
      <w:tr w14:paraId="6E46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50" w:type="dxa"/>
            <w:noWrap w:val="0"/>
            <w:vAlign w:val="top"/>
          </w:tcPr>
          <w:p w14:paraId="2B469437">
            <w:pPr>
              <w:jc w:val="center"/>
              <w:rPr>
                <w:rFonts w:hint="default"/>
                <w:b/>
                <w:bCs/>
                <w:sz w:val="21"/>
                <w:szCs w:val="21"/>
                <w:vertAlign w:val="baseline"/>
                <w:lang w:val="en-US" w:eastAsia="zh-CN"/>
              </w:rPr>
            </w:pPr>
            <w:r>
              <w:rPr>
                <w:rFonts w:hint="eastAsia" w:ascii="Calibri" w:eastAsia="宋体"/>
                <w:b/>
                <w:bCs/>
                <w:sz w:val="21"/>
                <w:szCs w:val="21"/>
                <w:vertAlign w:val="baseline"/>
                <w:lang w:val="en-US" w:eastAsia="zh-CN"/>
              </w:rPr>
              <w:t>序号</w:t>
            </w:r>
          </w:p>
        </w:tc>
        <w:tc>
          <w:tcPr>
            <w:tcW w:w="8203" w:type="dxa"/>
            <w:noWrap w:val="0"/>
            <w:vAlign w:val="top"/>
          </w:tcPr>
          <w:p w14:paraId="40940EB0">
            <w:pPr>
              <w:jc w:val="center"/>
              <w:rPr>
                <w:rFonts w:hint="default"/>
                <w:b/>
                <w:bCs/>
                <w:sz w:val="21"/>
                <w:szCs w:val="21"/>
                <w:vertAlign w:val="baseline"/>
                <w:lang w:val="en-US" w:eastAsia="zh-CN"/>
              </w:rPr>
            </w:pPr>
            <w:r>
              <w:rPr>
                <w:rFonts w:hint="eastAsia" w:ascii="Calibri" w:eastAsia="宋体"/>
                <w:b/>
                <w:bCs/>
                <w:sz w:val="21"/>
                <w:szCs w:val="21"/>
                <w:vertAlign w:val="baseline"/>
                <w:lang w:val="en-US" w:eastAsia="zh-CN"/>
              </w:rPr>
              <w:t>应知应会法律法规</w:t>
            </w:r>
          </w:p>
        </w:tc>
        <w:tc>
          <w:tcPr>
            <w:tcW w:w="4652" w:type="dxa"/>
            <w:noWrap w:val="0"/>
            <w:vAlign w:val="top"/>
          </w:tcPr>
          <w:p w14:paraId="2D9BA3CF">
            <w:pPr>
              <w:jc w:val="center"/>
              <w:rPr>
                <w:rFonts w:hint="default"/>
                <w:b/>
                <w:bCs/>
                <w:sz w:val="21"/>
                <w:szCs w:val="21"/>
                <w:vertAlign w:val="baseline"/>
                <w:lang w:val="en-US" w:eastAsia="zh-CN"/>
              </w:rPr>
            </w:pPr>
            <w:r>
              <w:rPr>
                <w:rFonts w:hint="eastAsia" w:ascii="Calibri" w:eastAsia="宋体"/>
                <w:b/>
                <w:bCs/>
                <w:sz w:val="21"/>
                <w:szCs w:val="21"/>
                <w:vertAlign w:val="baseline"/>
                <w:lang w:val="en-US" w:eastAsia="zh-CN"/>
              </w:rPr>
              <w:t>学法方式和具体措施</w:t>
            </w:r>
          </w:p>
        </w:tc>
      </w:tr>
      <w:tr w14:paraId="20FD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0" w:type="dxa"/>
            <w:noWrap w:val="0"/>
            <w:vAlign w:val="center"/>
          </w:tcPr>
          <w:p w14:paraId="6FC5EE71">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Times New Roman" w:hAnsi="Times New Roman" w:eastAsia="宋体" w:cs="Times New Roman"/>
                <w:kern w:val="2"/>
                <w:sz w:val="21"/>
                <w:lang w:val="en-US" w:eastAsia="zh-CN" w:bidi="ar-SA"/>
              </w:rPr>
            </w:pPr>
            <w:r>
              <w:rPr>
                <w:rFonts w:hint="eastAsia"/>
                <w:lang w:val="en-US" w:eastAsia="zh-CN"/>
              </w:rPr>
              <w:t>1</w:t>
            </w:r>
          </w:p>
        </w:tc>
        <w:tc>
          <w:tcPr>
            <w:tcW w:w="8203" w:type="dxa"/>
            <w:noWrap w:val="0"/>
            <w:vAlign w:val="center"/>
          </w:tcPr>
          <w:p w14:paraId="2ADEE5E5">
            <w:pPr>
              <w:jc w:val="left"/>
              <w:rPr>
                <w:rFonts w:hint="eastAsia" w:ascii="宋体" w:hAnsi="宋体" w:eastAsia="宋体" w:cs="宋体"/>
                <w:i w:val="0"/>
                <w:iCs w:val="0"/>
                <w:color w:val="000000"/>
                <w:kern w:val="0"/>
                <w:sz w:val="21"/>
                <w:szCs w:val="21"/>
                <w:u w:val="none"/>
                <w:lang w:val="en-US" w:eastAsia="zh-CN" w:bidi="ar"/>
              </w:rPr>
            </w:pPr>
            <w:r>
              <w:rPr>
                <w:rFonts w:hint="default"/>
                <w:lang w:val="en-US" w:eastAsia="zh-CN"/>
              </w:rPr>
              <w:t>《论坚持全面依法治国》《习近平关于全面依法治国论述摘编》《习近平关于依规治党论述摘编》《习近平法治思想学习纲要》《习近平法治思想学习问答》《中华人民共和国宪法》《中华人民共和国民法典》《中华人民共和国刑法》</w:t>
            </w:r>
          </w:p>
        </w:tc>
        <w:tc>
          <w:tcPr>
            <w:tcW w:w="4652" w:type="dxa"/>
            <w:noWrap w:val="0"/>
            <w:vAlign w:val="center"/>
          </w:tcPr>
          <w:p w14:paraId="1228259A">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个人自学、党组中心组学法、法治讲座、支部</w:t>
            </w:r>
            <w:r>
              <w:rPr>
                <w:rFonts w:hint="eastAsia" w:ascii="宋体" w:hAnsi="宋体" w:cs="宋体"/>
                <w:i w:val="0"/>
                <w:iCs w:val="0"/>
                <w:color w:val="000000"/>
                <w:kern w:val="0"/>
                <w:sz w:val="21"/>
                <w:szCs w:val="21"/>
                <w:u w:val="none"/>
                <w:lang w:val="en-US" w:eastAsia="zh-CN" w:bidi="ar"/>
              </w:rPr>
              <w:t>“三会一课”</w:t>
            </w:r>
            <w:r>
              <w:rPr>
                <w:rFonts w:hint="eastAsia" w:ascii="宋体" w:hAnsi="宋体" w:eastAsia="宋体" w:cs="宋体"/>
                <w:i w:val="0"/>
                <w:iCs w:val="0"/>
                <w:color w:val="000000"/>
                <w:kern w:val="0"/>
                <w:sz w:val="21"/>
                <w:szCs w:val="21"/>
                <w:u w:val="none"/>
                <w:lang w:val="en-US" w:eastAsia="zh-CN" w:bidi="ar"/>
              </w:rPr>
              <w:t>、宪法集体宣誓、国家工作人员学法考试等</w:t>
            </w:r>
          </w:p>
        </w:tc>
      </w:tr>
      <w:tr w14:paraId="60DE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0" w:type="dxa"/>
            <w:noWrap w:val="0"/>
            <w:vAlign w:val="center"/>
          </w:tcPr>
          <w:p w14:paraId="5EDCF1FC">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lang w:val="en-US" w:eastAsia="zh-CN"/>
              </w:rPr>
            </w:pPr>
            <w:r>
              <w:rPr>
                <w:rFonts w:hint="eastAsia"/>
                <w:lang w:val="en-US" w:eastAsia="zh-CN"/>
              </w:rPr>
              <w:t>2</w:t>
            </w:r>
          </w:p>
        </w:tc>
        <w:tc>
          <w:tcPr>
            <w:tcW w:w="8203" w:type="dxa"/>
            <w:noWrap w:val="0"/>
            <w:vAlign w:val="center"/>
          </w:tcPr>
          <w:p w14:paraId="4976FF3E">
            <w:pPr>
              <w:jc w:val="left"/>
              <w:rPr>
                <w:rFonts w:hint="default"/>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《中国共产党中央委员会工作条例》《中国共产党地方委员会工作条例</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中国共产党纪律检查委员会工作条例》《中国共产党党组工作条例》《党政领导干部选拔任用工作条例》《中国共产党统一战线工作条例》《中国共产党政治协商工作条例》《中国共产党政法工作条例》《中国共产党机构编制工作条例》《中国共产党宣传工作条例》《信访工作条例》《地方党政领导干部安全生产责任制规定》《关于新形势下党内政治生活的若干准则》《党委（党组）落实全面从严治党主体责任规定》《中国共产党问责条例》《中国共产党纪律处分条例》《领导干部干预司法活动、插手具体案件处理的记录、通报和责任追究规定》《法治政府建设与责任落实督察工作规定》等</w:t>
            </w:r>
            <w:r>
              <w:rPr>
                <w:rFonts w:hint="eastAsia"/>
                <w:sz w:val="21"/>
                <w:szCs w:val="21"/>
                <w:vertAlign w:val="baseline"/>
                <w:lang w:val="en-US" w:eastAsia="zh-CN"/>
              </w:rPr>
              <w:t>党内法规</w:t>
            </w:r>
          </w:p>
        </w:tc>
        <w:tc>
          <w:tcPr>
            <w:tcW w:w="4652" w:type="dxa"/>
            <w:noWrap w:val="0"/>
            <w:vAlign w:val="center"/>
          </w:tcPr>
          <w:p w14:paraId="4FD94BBC">
            <w:pPr>
              <w:jc w:val="left"/>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个人自学、党组中心组学法、法治讲座、国家工作人员年度学法考试、支部</w:t>
            </w:r>
            <w:r>
              <w:rPr>
                <w:rFonts w:hint="eastAsia" w:ascii="宋体" w:hAnsi="宋体" w:cs="宋体"/>
                <w:i w:val="0"/>
                <w:iCs w:val="0"/>
                <w:color w:val="000000"/>
                <w:kern w:val="0"/>
                <w:sz w:val="21"/>
                <w:szCs w:val="21"/>
                <w:u w:val="none"/>
                <w:lang w:val="en-US" w:eastAsia="zh-CN" w:bidi="ar"/>
              </w:rPr>
              <w:t>“三会一课”</w:t>
            </w:r>
            <w:r>
              <w:rPr>
                <w:rFonts w:hint="eastAsia" w:ascii="宋体" w:hAnsi="宋体" w:eastAsia="宋体" w:cs="宋体"/>
                <w:i w:val="0"/>
                <w:iCs w:val="0"/>
                <w:color w:val="000000"/>
                <w:kern w:val="0"/>
                <w:sz w:val="21"/>
                <w:szCs w:val="21"/>
                <w:u w:val="none"/>
                <w:lang w:val="en-US" w:eastAsia="zh-CN" w:bidi="ar"/>
              </w:rPr>
              <w:t>等</w:t>
            </w:r>
          </w:p>
        </w:tc>
      </w:tr>
      <w:tr w14:paraId="7D52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050" w:type="dxa"/>
            <w:noWrap w:val="0"/>
            <w:vAlign w:val="center"/>
          </w:tcPr>
          <w:p w14:paraId="52E4C902">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Times New Roman" w:hAnsi="Times New Roman" w:eastAsia="宋体" w:cs="Times New Roman"/>
                <w:kern w:val="2"/>
                <w:sz w:val="21"/>
                <w:lang w:val="en-US" w:eastAsia="zh-CN" w:bidi="ar-SA"/>
              </w:rPr>
            </w:pPr>
            <w:r>
              <w:rPr>
                <w:rFonts w:hint="eastAsia"/>
                <w:lang w:val="en-US" w:eastAsia="zh-CN"/>
              </w:rPr>
              <w:t>3</w:t>
            </w:r>
          </w:p>
        </w:tc>
        <w:tc>
          <w:tcPr>
            <w:tcW w:w="8203" w:type="dxa"/>
            <w:noWrap w:val="0"/>
            <w:vAlign w:val="center"/>
          </w:tcPr>
          <w:p w14:paraId="0170E61B">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《中华人民共和国行政许可法》《中华人民共和国行政处罚法》《中华人民共和国行政复议法》《中华人民共和国行政诉讼法》等行政法律法规</w:t>
            </w:r>
          </w:p>
        </w:tc>
        <w:tc>
          <w:tcPr>
            <w:tcW w:w="4652" w:type="dxa"/>
            <w:noWrap w:val="0"/>
            <w:vAlign w:val="center"/>
          </w:tcPr>
          <w:p w14:paraId="51650980">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个人自学、党组中心组学法、法治讲座、国家工作人员年度学法考试等</w:t>
            </w:r>
          </w:p>
        </w:tc>
      </w:tr>
      <w:tr w14:paraId="161C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50" w:type="dxa"/>
            <w:noWrap w:val="0"/>
            <w:vAlign w:val="center"/>
          </w:tcPr>
          <w:p w14:paraId="36281CF0">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lang w:val="en-US" w:eastAsia="zh-CN"/>
              </w:rPr>
            </w:pPr>
            <w:r>
              <w:rPr>
                <w:rFonts w:hint="eastAsia"/>
                <w:lang w:val="en-US" w:eastAsia="zh-CN"/>
              </w:rPr>
              <w:t>4</w:t>
            </w:r>
          </w:p>
        </w:tc>
        <w:tc>
          <w:tcPr>
            <w:tcW w:w="8203" w:type="dxa"/>
            <w:noWrap w:val="0"/>
            <w:vAlign w:val="center"/>
          </w:tcPr>
          <w:p w14:paraId="7AFD9803">
            <w:pPr>
              <w:jc w:val="left"/>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全国人民代表大会组织法》《中华人民共和国国务院组织法》《中华人民共和国监察法》《中华人民共和国地方各级人民代表大会和地方各级人民政府组织法》《中华人民共和国立法法》《中华人民共和国保守国家秘密法》《中华人民共和国网络安全法》《中华人民共和国生物安全法》《中华人民共和国反恐怖主义法》《中华人民共和国反间谍法》《中华人民共和国数据安全法》《中华人民共和国循环经济促进法》《中华人民共和国反外国制裁法》《反分裂国家法》《重大行政决策程序暂行条例》《优化营商环境条例》《中华人民共和国监察法实施条例》《</w:t>
            </w:r>
            <w:r>
              <w:rPr>
                <w:rFonts w:hint="default" w:ascii="宋体" w:hAnsi="宋体" w:eastAsia="宋体" w:cs="宋体"/>
                <w:i w:val="0"/>
                <w:iCs w:val="0"/>
                <w:color w:val="000000"/>
                <w:kern w:val="0"/>
                <w:sz w:val="21"/>
                <w:szCs w:val="21"/>
                <w:u w:val="none"/>
                <w:lang w:val="en-US" w:eastAsia="zh-CN" w:bidi="ar"/>
              </w:rPr>
              <w:t>中华人民共和国政府信息公开条例</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《信访工作条例》</w:t>
            </w:r>
            <w:r>
              <w:rPr>
                <w:rFonts w:hint="eastAsia" w:ascii="宋体" w:hAnsi="宋体" w:eastAsia="宋体" w:cs="宋体"/>
                <w:i w:val="0"/>
                <w:iCs w:val="0"/>
                <w:color w:val="000000"/>
                <w:kern w:val="0"/>
                <w:sz w:val="21"/>
                <w:szCs w:val="21"/>
                <w:u w:val="none"/>
                <w:lang w:val="en-US" w:eastAsia="zh-CN" w:bidi="ar"/>
              </w:rPr>
              <w:t>等法律法规</w:t>
            </w:r>
          </w:p>
        </w:tc>
        <w:tc>
          <w:tcPr>
            <w:tcW w:w="4652" w:type="dxa"/>
            <w:noWrap w:val="0"/>
            <w:vAlign w:val="center"/>
          </w:tcPr>
          <w:p w14:paraId="15E4ECCF">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个人自学、党组中心组学法、法治讲座、国家工作人员年度学法考试、支部</w:t>
            </w:r>
            <w:r>
              <w:rPr>
                <w:rFonts w:hint="eastAsia" w:ascii="宋体" w:hAnsi="宋体" w:cs="宋体"/>
                <w:i w:val="0"/>
                <w:iCs w:val="0"/>
                <w:color w:val="000000"/>
                <w:kern w:val="0"/>
                <w:sz w:val="21"/>
                <w:szCs w:val="21"/>
                <w:u w:val="none"/>
                <w:lang w:val="en-US" w:eastAsia="zh-CN" w:bidi="ar"/>
              </w:rPr>
              <w:t>“三会一课”</w:t>
            </w:r>
            <w:r>
              <w:rPr>
                <w:rFonts w:hint="eastAsia" w:ascii="宋体" w:hAnsi="宋体" w:eastAsia="宋体" w:cs="宋体"/>
                <w:i w:val="0"/>
                <w:iCs w:val="0"/>
                <w:color w:val="000000"/>
                <w:kern w:val="0"/>
                <w:sz w:val="21"/>
                <w:szCs w:val="21"/>
                <w:u w:val="none"/>
                <w:lang w:val="en-US" w:eastAsia="zh-CN" w:bidi="ar"/>
              </w:rPr>
              <w:t>等</w:t>
            </w:r>
          </w:p>
        </w:tc>
      </w:tr>
      <w:tr w14:paraId="6EF0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50" w:type="dxa"/>
            <w:noWrap w:val="0"/>
            <w:vAlign w:val="top"/>
          </w:tcPr>
          <w:p w14:paraId="01C90AB4">
            <w:pPr>
              <w:jc w:val="center"/>
              <w:rPr>
                <w:rFonts w:hint="eastAsia" w:ascii="Times New Roman" w:hAnsi="Times New Roman" w:eastAsia="宋体" w:cs="Times New Roman"/>
                <w:b/>
                <w:bCs/>
                <w:color w:val="auto"/>
                <w:kern w:val="2"/>
                <w:sz w:val="21"/>
                <w:szCs w:val="21"/>
                <w:vertAlign w:val="baseline"/>
                <w:lang w:val="en-US" w:eastAsia="zh-CN" w:bidi="ar-SA"/>
              </w:rPr>
            </w:pPr>
            <w:r>
              <w:rPr>
                <w:rFonts w:hint="eastAsia" w:ascii="Calibri" w:eastAsia="宋体"/>
                <w:b/>
                <w:bCs/>
                <w:sz w:val="21"/>
                <w:szCs w:val="21"/>
                <w:vertAlign w:val="baseline"/>
                <w:lang w:val="en-US" w:eastAsia="zh-CN"/>
              </w:rPr>
              <w:t>序号</w:t>
            </w:r>
          </w:p>
        </w:tc>
        <w:tc>
          <w:tcPr>
            <w:tcW w:w="8203" w:type="dxa"/>
            <w:noWrap w:val="0"/>
            <w:vAlign w:val="top"/>
          </w:tcPr>
          <w:p w14:paraId="0F891BB0">
            <w:pPr>
              <w:jc w:val="center"/>
              <w:rPr>
                <w:rFonts w:hint="eastAsia" w:ascii="Times New Roman" w:hAnsi="Times New Roman" w:eastAsia="宋体" w:cs="Times New Roman"/>
                <w:b/>
                <w:bCs/>
                <w:color w:val="auto"/>
                <w:kern w:val="2"/>
                <w:sz w:val="21"/>
                <w:szCs w:val="21"/>
                <w:vertAlign w:val="baseline"/>
                <w:lang w:val="en-US" w:eastAsia="zh-CN" w:bidi="ar-SA"/>
              </w:rPr>
            </w:pPr>
            <w:r>
              <w:rPr>
                <w:rFonts w:hint="eastAsia" w:ascii="Calibri" w:eastAsia="宋体"/>
                <w:b/>
                <w:bCs/>
                <w:sz w:val="21"/>
                <w:szCs w:val="21"/>
                <w:vertAlign w:val="baseline"/>
                <w:lang w:val="en-US" w:eastAsia="zh-CN"/>
              </w:rPr>
              <w:t>应知应会法律法规</w:t>
            </w:r>
          </w:p>
        </w:tc>
        <w:tc>
          <w:tcPr>
            <w:tcW w:w="4652" w:type="dxa"/>
            <w:noWrap w:val="0"/>
            <w:vAlign w:val="top"/>
          </w:tcPr>
          <w:p w14:paraId="0F5FC004">
            <w:pPr>
              <w:jc w:val="center"/>
              <w:rPr>
                <w:rFonts w:hint="eastAsia" w:ascii="Times New Roman" w:hAnsi="Times New Roman" w:eastAsia="宋体" w:cs="Times New Roman"/>
                <w:b/>
                <w:bCs/>
                <w:color w:val="auto"/>
                <w:kern w:val="2"/>
                <w:sz w:val="21"/>
                <w:szCs w:val="21"/>
                <w:vertAlign w:val="baseline"/>
                <w:lang w:val="en-US" w:eastAsia="zh-CN" w:bidi="ar-SA"/>
              </w:rPr>
            </w:pPr>
            <w:r>
              <w:rPr>
                <w:rFonts w:hint="eastAsia" w:ascii="Calibri" w:eastAsia="宋体"/>
                <w:b/>
                <w:bCs/>
                <w:sz w:val="21"/>
                <w:szCs w:val="21"/>
                <w:vertAlign w:val="baseline"/>
                <w:lang w:val="en-US" w:eastAsia="zh-CN"/>
              </w:rPr>
              <w:t>学法方式和具体措施</w:t>
            </w:r>
          </w:p>
        </w:tc>
      </w:tr>
      <w:tr w14:paraId="28F4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1050" w:type="dxa"/>
            <w:noWrap w:val="0"/>
            <w:vAlign w:val="center"/>
          </w:tcPr>
          <w:p w14:paraId="71F094BC">
            <w:pPr>
              <w:ind w:firstLine="420" w:firstLineChars="200"/>
              <w:jc w:val="left"/>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8203" w:type="dxa"/>
            <w:noWrap w:val="0"/>
            <w:vAlign w:val="center"/>
          </w:tcPr>
          <w:p w14:paraId="682F1481">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东省安全生产条例》《法治社会建设实施纲要（2020-2025年）》《新时代公民道德建设实施纲要》《新时代爱国主义教育实施纲要》《江门市文明行为促进条例》《广东省数字经济促进条例》《广东省平安建设条例》《广东省人口与计划生育条例》</w:t>
            </w:r>
          </w:p>
          <w:p w14:paraId="6A6DE79A">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《广东省乡村振兴促进条例》</w:t>
            </w:r>
          </w:p>
        </w:tc>
        <w:tc>
          <w:tcPr>
            <w:tcW w:w="4652" w:type="dxa"/>
            <w:noWrap w:val="0"/>
            <w:vAlign w:val="center"/>
          </w:tcPr>
          <w:p w14:paraId="7AD59F84">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个人自学、党组中心组学法、法治讲座、国家工作人员年度学法考试、支部</w:t>
            </w:r>
            <w:r>
              <w:rPr>
                <w:rFonts w:hint="eastAsia" w:ascii="宋体" w:hAnsi="宋体" w:cs="宋体"/>
                <w:i w:val="0"/>
                <w:iCs w:val="0"/>
                <w:color w:val="000000"/>
                <w:kern w:val="0"/>
                <w:sz w:val="21"/>
                <w:szCs w:val="21"/>
                <w:u w:val="none"/>
                <w:lang w:val="en-US" w:eastAsia="zh-CN" w:bidi="ar"/>
              </w:rPr>
              <w:t>“三会一课”</w:t>
            </w:r>
            <w:r>
              <w:rPr>
                <w:rFonts w:hint="eastAsia" w:ascii="宋体" w:hAnsi="宋体" w:eastAsia="宋体" w:cs="宋体"/>
                <w:i w:val="0"/>
                <w:iCs w:val="0"/>
                <w:color w:val="000000"/>
                <w:kern w:val="0"/>
                <w:sz w:val="21"/>
                <w:szCs w:val="21"/>
                <w:u w:val="none"/>
                <w:lang w:val="en-US" w:eastAsia="zh-CN" w:bidi="ar"/>
              </w:rPr>
              <w:t>等</w:t>
            </w:r>
          </w:p>
        </w:tc>
      </w:tr>
      <w:tr w14:paraId="6B04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trPr>
        <w:tc>
          <w:tcPr>
            <w:tcW w:w="1050" w:type="dxa"/>
            <w:noWrap w:val="0"/>
            <w:vAlign w:val="center"/>
          </w:tcPr>
          <w:p w14:paraId="1D3B9C91">
            <w:pPr>
              <w:ind w:firstLine="420" w:firstLineChars="200"/>
              <w:jc w:val="left"/>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8203" w:type="dxa"/>
            <w:noWrap w:val="0"/>
            <w:vAlign w:val="center"/>
          </w:tcPr>
          <w:p w14:paraId="015273FC">
            <w:pPr>
              <w:jc w:val="left"/>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《中华人民共和国建筑法》</w:t>
            </w:r>
            <w:r>
              <w:rPr>
                <w:rFonts w:hint="default" w:ascii="宋体" w:hAnsi="宋体" w:eastAsia="宋体" w:cs="宋体"/>
                <w:i w:val="0"/>
                <w:iCs w:val="0"/>
                <w:color w:val="000000"/>
                <w:kern w:val="0"/>
                <w:sz w:val="21"/>
                <w:szCs w:val="21"/>
                <w:u w:val="none"/>
                <w:lang w:val="en-US" w:eastAsia="zh-CN" w:bidi="ar"/>
              </w:rPr>
              <w:t>《中华人民共和国安全生产法》</w:t>
            </w:r>
            <w:r>
              <w:rPr>
                <w:rFonts w:hint="eastAsia" w:ascii="宋体" w:hAnsi="宋体" w:eastAsia="宋体" w:cs="宋体"/>
                <w:i w:val="0"/>
                <w:iCs w:val="0"/>
                <w:color w:val="000000"/>
                <w:kern w:val="0"/>
                <w:sz w:val="21"/>
                <w:szCs w:val="21"/>
                <w:u w:val="none"/>
                <w:lang w:val="en-US" w:eastAsia="zh-CN" w:bidi="ar"/>
              </w:rPr>
              <w:t>《中华人民共和国招标投标法》《中华人民共和国城市房地产管理法》</w:t>
            </w: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"http://www.gd.gov.cn/zwgk/wjk/zcfgk/content/post_2532488.html" \t "https://www.gdzwfw.gov.cn/portal/v2/guide/_blank" </w:instrText>
            </w:r>
            <w:r>
              <w:rPr>
                <w:rFonts w:hint="eastAsia" w:ascii="宋体" w:hAnsi="宋体" w:eastAsia="宋体" w:cs="宋体"/>
                <w:i w:val="0"/>
                <w:iCs w:val="0"/>
                <w:color w:val="000000"/>
                <w:kern w:val="0"/>
                <w:sz w:val="21"/>
                <w:szCs w:val="21"/>
                <w:u w:val="none"/>
                <w:lang w:val="en-US" w:eastAsia="zh-CN" w:bidi="ar"/>
              </w:rPr>
              <w:fldChar w:fldCharType="separate"/>
            </w:r>
            <w:r>
              <w:rPr>
                <w:rFonts w:hint="eastAsia" w:ascii="宋体" w:hAnsi="宋体" w:eastAsia="宋体" w:cs="宋体"/>
                <w:i w:val="0"/>
                <w:iCs w:val="0"/>
                <w:color w:val="000000"/>
                <w:kern w:val="0"/>
                <w:sz w:val="21"/>
                <w:szCs w:val="21"/>
                <w:u w:val="none"/>
                <w:lang w:val="en-US" w:eastAsia="zh-CN" w:bidi="ar"/>
              </w:rPr>
              <w:t>《城市商品房预售管理办法》</w:t>
            </w:r>
            <w:r>
              <w:rPr>
                <w:rFonts w:hint="eastAsia" w:ascii="宋体" w:hAnsi="宋体" w:eastAsia="宋体" w:cs="宋体"/>
                <w:i w:val="0"/>
                <w:iCs w:val="0"/>
                <w:color w:val="000000"/>
                <w:kern w:val="0"/>
                <w:sz w:val="21"/>
                <w:szCs w:val="21"/>
                <w:u w:val="none"/>
                <w:lang w:val="en-US" w:eastAsia="zh-CN" w:bidi="ar"/>
              </w:rPr>
              <w:fldChar w:fldCharType="end"/>
            </w:r>
            <w:r>
              <w:rPr>
                <w:rFonts w:hint="eastAsia" w:ascii="宋体" w:hAnsi="宋体" w:eastAsia="宋体" w:cs="宋体"/>
                <w:i w:val="0"/>
                <w:iCs w:val="0"/>
                <w:color w:val="000000"/>
                <w:kern w:val="0"/>
                <w:sz w:val="21"/>
                <w:szCs w:val="21"/>
                <w:u w:val="none"/>
                <w:lang w:val="en-US" w:eastAsia="zh-CN" w:bidi="ar"/>
              </w:rPr>
              <w:t>《中华人民共和国招标投标法实施条例》《建设工程质量管理条例》《物业管理条例》《保障农民工工资支付条例》</w:t>
            </w: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"http://www.gd.gov.cn/zwgk/wjk/zcfgk/content/post_2716963.html" \t "https://www.gdzwfw.gov.cn/portal/v3/guide/_blank" </w:instrText>
            </w:r>
            <w:r>
              <w:rPr>
                <w:rFonts w:hint="eastAsia" w:ascii="宋体" w:hAnsi="宋体" w:eastAsia="宋体" w:cs="宋体"/>
                <w:i w:val="0"/>
                <w:iCs w:val="0"/>
                <w:color w:val="000000"/>
                <w:kern w:val="0"/>
                <w:sz w:val="21"/>
                <w:szCs w:val="21"/>
                <w:u w:val="none"/>
                <w:lang w:val="en-US" w:eastAsia="zh-CN" w:bidi="ar"/>
              </w:rPr>
              <w:fldChar w:fldCharType="separate"/>
            </w:r>
            <w:r>
              <w:rPr>
                <w:rFonts w:hint="eastAsia" w:ascii="宋体" w:hAnsi="宋体" w:eastAsia="宋体" w:cs="宋体"/>
                <w:i w:val="0"/>
                <w:iCs w:val="0"/>
                <w:color w:val="000000"/>
                <w:kern w:val="0"/>
                <w:sz w:val="21"/>
                <w:szCs w:val="21"/>
                <w:u w:val="none"/>
                <w:lang w:val="en-US" w:eastAsia="zh-CN" w:bidi="ar"/>
              </w:rPr>
              <w:t>《房地产经纪管理办法》</w:t>
            </w:r>
            <w:r>
              <w:rPr>
                <w:rFonts w:hint="eastAsia" w:ascii="宋体" w:hAnsi="宋体" w:eastAsia="宋体" w:cs="宋体"/>
                <w:i w:val="0"/>
                <w:iCs w:val="0"/>
                <w:color w:val="000000"/>
                <w:kern w:val="0"/>
                <w:sz w:val="21"/>
                <w:szCs w:val="21"/>
                <w:u w:val="none"/>
                <w:lang w:val="en-US" w:eastAsia="zh-CN" w:bidi="ar"/>
              </w:rPr>
              <w:fldChar w:fldCharType="end"/>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广东省实施〈中华人民共和国消防法〉办法</w:t>
            </w:r>
            <w:r>
              <w:rPr>
                <w:rFonts w:hint="eastAsia" w:ascii="宋体" w:hAnsi="宋体" w:eastAsia="宋体" w:cs="宋体"/>
                <w:i w:val="0"/>
                <w:iCs w:val="0"/>
                <w:color w:val="000000"/>
                <w:kern w:val="0"/>
                <w:sz w:val="21"/>
                <w:szCs w:val="21"/>
                <w:u w:val="none"/>
                <w:lang w:val="en-US" w:eastAsia="zh-CN" w:bidi="ar"/>
              </w:rPr>
              <w:t>》《广东省物业管理条例》《广东省商品房预售管理条例》《广东省城镇住房保障办法》《广东省绿色建筑条例》 《江门市历史文化街区和历史建筑保护条例》等住建领域法律法规</w:t>
            </w:r>
          </w:p>
        </w:tc>
        <w:tc>
          <w:tcPr>
            <w:tcW w:w="4652" w:type="dxa"/>
            <w:noWrap w:val="0"/>
            <w:vAlign w:val="center"/>
          </w:tcPr>
          <w:p w14:paraId="3F155CC5">
            <w:pPr>
              <w:jc w:val="left"/>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个人自学、党组中心组学法、法治讲座等</w:t>
            </w:r>
          </w:p>
        </w:tc>
      </w:tr>
    </w:tbl>
    <w:p w14:paraId="51C7D1CD">
      <w:pPr>
        <w:jc w:val="left"/>
        <w:rPr>
          <w:rFonts w:hint="eastAsia" w:ascii="宋体" w:hAnsi="宋体" w:eastAsia="宋体" w:cs="宋体"/>
          <w:i w:val="0"/>
          <w:iCs w:val="0"/>
          <w:color w:val="000000"/>
          <w:kern w:val="0"/>
          <w:sz w:val="21"/>
          <w:szCs w:val="21"/>
          <w:u w:val="none"/>
          <w:lang w:val="en-US" w:eastAsia="zh-CN" w:bidi="ar"/>
        </w:rPr>
      </w:pPr>
    </w:p>
    <w:p w14:paraId="510C16B9">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p w14:paraId="1C81579E">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领导干部应知应会法律法规包括：宪法、民法典、党内法规、与推动高质量发展密切相关的法律法规、与社会治理现代化密切相关的法律法规、与本单位领导干部履职相关的法规法律法规等。以上内容由各单位结合职能自行梳理填报。</w:t>
      </w:r>
    </w:p>
    <w:p w14:paraId="04FAC095">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2.领导干部学法要坚持集中学法和自主学法、线上学法和线下学法、考试学法与日常学法、法治教育与法治实践相结合。学法方式包括：各单位可结合党委</w:t>
      </w:r>
      <w:r>
        <w:rPr>
          <w:rFonts w:hint="eastAsia" w:ascii="宋体" w:hAnsi="宋体" w:cs="宋体"/>
          <w:i w:val="0"/>
          <w:iCs w:val="0"/>
          <w:color w:val="000000"/>
          <w:kern w:val="0"/>
          <w:sz w:val="21"/>
          <w:szCs w:val="21"/>
          <w:u w:val="none"/>
          <w:lang w:val="en-US" w:eastAsia="zh-CN" w:bidi="ar"/>
        </w:rPr>
        <w:t>（党</w:t>
      </w:r>
      <w:r>
        <w:rPr>
          <w:rFonts w:hint="eastAsia" w:ascii="宋体" w:hAnsi="宋体" w:eastAsia="宋体" w:cs="宋体"/>
          <w:i w:val="0"/>
          <w:iCs w:val="0"/>
          <w:color w:val="000000"/>
          <w:kern w:val="0"/>
          <w:sz w:val="21"/>
          <w:szCs w:val="21"/>
          <w:u w:val="none"/>
          <w:lang w:val="en-US" w:eastAsia="zh-CN" w:bidi="ar"/>
        </w:rPr>
        <w:t>组）中心组学法、政府常务会议学法、行政执法资格考试、国家工作人员旁听庭审活动、国家工作人员年度学法考试、行政机关负责人出庭应诉、领导干部任前学法考试、法治讲座和法治报告会、宪法集体宣誓等形式开展领导干部应知应会法律法规学习。</w:t>
      </w:r>
    </w:p>
    <w:p w14:paraId="77F90080"/>
    <w:p w14:paraId="3F26BCF0"/>
    <w:sectPr>
      <w:footerReference r:id="rId3" w:type="default"/>
      <w:pgSz w:w="16838" w:h="11906" w:orient="landscape"/>
      <w:pgMar w:top="1474" w:right="1474" w:bottom="1474" w:left="1474"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8A9F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42EA1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4942EA1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A1A6E"/>
    <w:rsid w:val="5B1A1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lang w:val="en-US" w:eastAsia="zh-CN" w:bidi="ar-SA"/>
    </w:rPr>
  </w:style>
  <w:style w:type="paragraph" w:styleId="3">
    <w:name w:val="toc 5"/>
    <w:next w:val="1"/>
    <w:qFormat/>
    <w:uiPriority w:val="0"/>
    <w:pPr>
      <w:widowControl w:val="0"/>
      <w:ind w:left="1680" w:leftChars="800"/>
      <w:jc w:val="both"/>
    </w:pPr>
    <w:rPr>
      <w:rFonts w:ascii="Times New Roman" w:hAnsi="Times New Roman" w:eastAsia="宋体" w:cs="Times New Roman"/>
      <w:kern w:val="2"/>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2025-06-26T03:01:00Z</dcterms:created>
  <dc:creator> Uv君</dc:creator>
  <cp:lastModifiedBy> Uv君</cp:lastModifiedBy>
  <dcterms:modified xsi:type="dcterms:W3CDTF">2025-06-26T03:03:57Z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13BBCEE37A094F64BD9E766EA4B40FBC_11</vt:lpwstr>
  </property>
  <property fmtid="{D5CDD505-2E9C-101B-9397-08002B2CF9AE}" pid="4" name="KSOTemplateDocerSaveRecord">
    <vt:lpwstr>eyJoZGlkIjoiOTc5NDI1YmFiZGFlNzRlYWFlNjRlNmMwYjJmMmY5N2IiLCJ1c2VySWQiOiIyNjMxODg4MDIifQ==</vt:lpwstr>
  </property>
</Properties>
</file>